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3858E2">
      <w:pPr>
        <w:widowControl/>
        <w:spacing w:line="560" w:lineRule="exact"/>
        <w:jc w:val="center"/>
        <w:rPr>
          <w:rFonts w:hint="eastAsia" w:ascii="宋体" w:hAnsi="宋体" w:cs="宋体"/>
          <w:b/>
          <w:sz w:val="44"/>
          <w:szCs w:val="44"/>
          <w:lang w:eastAsia="zh-Hans"/>
        </w:rPr>
      </w:pPr>
      <w:r>
        <w:rPr>
          <w:rFonts w:hint="eastAsia" w:ascii="宋体" w:hAnsi="宋体" w:cs="宋体"/>
          <w:b/>
          <w:sz w:val="44"/>
          <w:szCs w:val="44"/>
          <w:lang w:eastAsia="zh-Hans"/>
        </w:rPr>
        <w:t>北海艺术设计学院</w:t>
      </w:r>
      <w:r>
        <w:rPr>
          <w:rFonts w:ascii="宋体" w:hAnsi="宋体" w:cs="宋体"/>
          <w:b/>
          <w:sz w:val="44"/>
          <w:szCs w:val="44"/>
          <w:lang w:eastAsia="zh-Hans"/>
        </w:rPr>
        <w:t>202</w:t>
      </w:r>
      <w:r>
        <w:rPr>
          <w:rFonts w:hint="eastAsia" w:ascii="宋体" w:hAnsi="宋体" w:cs="宋体"/>
          <w:b/>
          <w:sz w:val="44"/>
          <w:szCs w:val="44"/>
          <w:lang w:val="en-US" w:eastAsia="zh-CN"/>
        </w:rPr>
        <w:t>6</w:t>
      </w:r>
      <w:r>
        <w:rPr>
          <w:rFonts w:hint="eastAsia" w:ascii="宋体" w:hAnsi="宋体" w:cs="宋体"/>
          <w:b/>
          <w:sz w:val="44"/>
          <w:szCs w:val="44"/>
        </w:rPr>
        <w:t>级本科</w:t>
      </w:r>
      <w:r>
        <w:rPr>
          <w:rFonts w:hint="eastAsia" w:ascii="宋体" w:hAnsi="宋体" w:cs="宋体"/>
          <w:b/>
          <w:sz w:val="44"/>
          <w:szCs w:val="44"/>
          <w:lang w:eastAsia="zh-Hans"/>
        </w:rPr>
        <w:t>专业</w:t>
      </w:r>
    </w:p>
    <w:p w14:paraId="131B1C9A">
      <w:pPr>
        <w:widowControl/>
        <w:spacing w:line="560" w:lineRule="exact"/>
        <w:jc w:val="center"/>
        <w:rPr>
          <w:rFonts w:hint="eastAsia" w:ascii="宋体" w:hAnsi="宋体" w:cs="宋体"/>
          <w:b/>
          <w:sz w:val="44"/>
          <w:szCs w:val="44"/>
        </w:rPr>
      </w:pPr>
      <w:r>
        <w:rPr>
          <w:rFonts w:hint="eastAsia" w:ascii="宋体" w:hAnsi="宋体" w:cs="宋体"/>
          <w:b/>
          <w:sz w:val="44"/>
          <w:szCs w:val="44"/>
        </w:rPr>
        <w:t>人才培养方案制定的指导意见</w:t>
      </w:r>
    </w:p>
    <w:p w14:paraId="7B17375A">
      <w:pPr>
        <w:spacing w:line="300" w:lineRule="auto"/>
        <w:ind w:firstLine="480" w:firstLineChars="200"/>
        <w:rPr>
          <w:rFonts w:hint="eastAsia" w:ascii="宋体" w:hAnsi="宋体" w:cs="宋体"/>
          <w:kern w:val="0"/>
          <w:sz w:val="24"/>
        </w:rPr>
      </w:pPr>
    </w:p>
    <w:p w14:paraId="61420E0B">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sz w:val="24"/>
        </w:rPr>
      </w:pPr>
      <w:r>
        <w:rPr>
          <w:rFonts w:hint="eastAsia" w:ascii="宋体" w:hAnsi="宋体" w:cs="宋体"/>
          <w:sz w:val="24"/>
        </w:rPr>
        <w:t>人才培养方案是高校贯彻落实党和国家关于人才培养总体要求、组织开展教学活动、安排教学任务的规范性文件，是实施专业人才培养和开展质量评价的基本依据。为全面贯彻党的二十大精神，落实全国教育大会和新时代全国高等学校本科教育工作会议精神，坚持立德树人，为党育人为国育才，全面提高人才培养能力，现就学校202</w:t>
      </w:r>
      <w:r>
        <w:rPr>
          <w:rFonts w:hint="eastAsia" w:ascii="宋体" w:hAnsi="宋体" w:cs="宋体"/>
          <w:sz w:val="24"/>
          <w:lang w:val="en-US" w:eastAsia="zh-CN"/>
        </w:rPr>
        <w:t>6</w:t>
      </w:r>
      <w:r>
        <w:rPr>
          <w:rFonts w:hint="eastAsia" w:ascii="宋体" w:hAnsi="宋体" w:cs="宋体"/>
          <w:sz w:val="24"/>
        </w:rPr>
        <w:t>级本科专业人才培养方案制定工作提出以下指导意见。</w:t>
      </w:r>
    </w:p>
    <w:p w14:paraId="75C6EBC7">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sz w:val="28"/>
          <w:szCs w:val="28"/>
          <w:lang w:eastAsia="zh-Hans"/>
        </w:rPr>
      </w:pPr>
      <w:r>
        <w:rPr>
          <w:rFonts w:hint="eastAsia" w:ascii="黑体" w:hAnsi="黑体" w:eastAsia="黑体" w:cs="黑体"/>
          <w:sz w:val="28"/>
          <w:szCs w:val="28"/>
          <w:lang w:eastAsia="zh-Hans"/>
        </w:rPr>
        <w:t>一、指导思想</w:t>
      </w:r>
    </w:p>
    <w:p w14:paraId="31D6D1A0">
      <w:pPr>
        <w:keepNext w:val="0"/>
        <w:keepLines w:val="0"/>
        <w:pageBreakBefore w:val="0"/>
        <w:shd w:val="clea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sz w:val="24"/>
        </w:rPr>
      </w:pPr>
      <w:r>
        <w:rPr>
          <w:rFonts w:hint="eastAsia" w:ascii="宋体" w:hAnsi="宋体" w:cs="宋体"/>
          <w:sz w:val="24"/>
        </w:rPr>
        <w:t>以</w:t>
      </w:r>
      <w:r>
        <w:rPr>
          <w:rFonts w:ascii="宋体" w:hAnsi="宋体" w:cs="宋体"/>
          <w:sz w:val="24"/>
        </w:rPr>
        <w:t>习近平新时代中国特色社会主义思想为指导，全面贯彻</w:t>
      </w:r>
      <w:r>
        <w:rPr>
          <w:rFonts w:hint="eastAsia" w:ascii="宋体" w:hAnsi="宋体" w:cs="宋体"/>
          <w:sz w:val="24"/>
        </w:rPr>
        <w:t>习近平总书记关于教育的重要论述</w:t>
      </w:r>
      <w:r>
        <w:rPr>
          <w:rFonts w:ascii="宋体" w:hAnsi="宋体" w:cs="宋体"/>
          <w:sz w:val="24"/>
        </w:rPr>
        <w:t>，遵循高等教育基本规律，坚持社会主义办学方向，积极响应教育部《关于加快建设高水平本科教育全面提高人才培养能力的意见》《关于深化本科教育教学</w:t>
      </w:r>
      <w:r>
        <w:rPr>
          <w:rFonts w:ascii="宋体" w:hAnsi="宋体" w:cs="宋体"/>
          <w:sz w:val="24"/>
          <w:highlight w:val="none"/>
        </w:rPr>
        <w:t>改革全面提高人才培养质量的意见》等文件精神，全面落实立德树人根本任务，以教育数字化赋能人才培养质量提升，推动学校事业高质量发展。坚持以学生发展为中心，体现学校办学思路，</w:t>
      </w:r>
      <w:r>
        <w:rPr>
          <w:rFonts w:hint="eastAsia" w:ascii="宋体" w:hAnsi="宋体" w:cs="宋体"/>
          <w:sz w:val="24"/>
          <w:highlight w:val="none"/>
        </w:rPr>
        <w:t>助力新质生产力发展</w:t>
      </w:r>
      <w:r>
        <w:rPr>
          <w:rFonts w:ascii="宋体" w:hAnsi="宋体" w:cs="宋体"/>
          <w:sz w:val="24"/>
          <w:highlight w:val="none"/>
        </w:rPr>
        <w:t>，旨在培养适应行业发展需求，品德高尚，视野开阔，基础扎实，专业应用能力突出，创新创</w:t>
      </w:r>
      <w:r>
        <w:rPr>
          <w:rFonts w:ascii="宋体" w:hAnsi="宋体" w:cs="宋体"/>
          <w:sz w:val="24"/>
        </w:rPr>
        <w:t>业能力强，德智体美劳全面发展的高素质应用型人才。</w:t>
      </w:r>
    </w:p>
    <w:p w14:paraId="2F310F56">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sz w:val="28"/>
          <w:szCs w:val="28"/>
          <w:lang w:eastAsia="zh-Hans"/>
        </w:rPr>
      </w:pPr>
      <w:r>
        <w:rPr>
          <w:rFonts w:hint="eastAsia" w:ascii="黑体" w:hAnsi="黑体" w:eastAsia="黑体" w:cs="黑体"/>
          <w:sz w:val="28"/>
          <w:szCs w:val="28"/>
          <w:lang w:eastAsia="zh-Hans"/>
        </w:rPr>
        <w:t>二、基本原则</w:t>
      </w:r>
    </w:p>
    <w:p w14:paraId="352D51DF">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（一）坚持立德树人，促进全面发展</w:t>
      </w:r>
    </w:p>
    <w:p w14:paraId="2F9BBDB1">
      <w:pPr>
        <w:keepNext w:val="0"/>
        <w:keepLines w:val="0"/>
        <w:pageBreakBefore w:val="0"/>
        <w:shd w:val="clear"/>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sz w:val="24"/>
        </w:rPr>
      </w:pPr>
      <w:r>
        <w:rPr>
          <w:rFonts w:hint="eastAsia" w:ascii="宋体" w:hAnsi="宋体" w:cs="宋体"/>
          <w:sz w:val="24"/>
        </w:rPr>
        <w:t>把思想政治教育贯穿人才培养全过程，落实立德树人根本任务，培育和践行社会主义核心价值观，铸牢中华民族共同体意识，围绕“培养什么人、怎样培养人、为谁培养人”的根本问题，将价值塑造、知识传授、能力培养、素质提升融为一体，促进学生全面发展。立足专业特色和优势，注重学生的学思结合、知行统一，坚持德才兼修，激发学生的思想认同感和学习自觉性，实现专业知识与理想信念、品德修为、文化自信等的内在融合。</w:t>
      </w:r>
    </w:p>
    <w:p w14:paraId="549CC4E9">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（二）坚持标准引领，确保科学规范</w:t>
      </w:r>
    </w:p>
    <w:p w14:paraId="4CA817CC">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以《普通高等学校本科专业类教学质量国家标准》（以下简称《国标》）为基本遵循，参照专业评估和专业认证要求，依据党和国家在人才培养、课程构建、教学内容安排等方面的基本要求，关注专业发展、社会需求和学生需求等因素，在充分开展专业调研的基础上制定出科学规范、切实可行的专业人才培养方案。</w:t>
      </w:r>
    </w:p>
    <w:p w14:paraId="589EE88E">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（三）遵循基本规律，体现培养特色</w:t>
      </w:r>
    </w:p>
    <w:p w14:paraId="29CDDF0C">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以OBE理念为指导，准确把握高等教育基本规律和人才成长规律，以提高人才培养质量为核心，特别关注文化产业科技融合、艺术创新等产业新需求新变化，预测相关产业人才需求，牢牢把握新文科教育的价值导向。坚持以社会主义核心价值观为引领，发挥艺术学科专业优势，突出学校“</w:t>
      </w:r>
      <w:bookmarkStart w:id="0" w:name="OLE_LINK1"/>
      <w:r>
        <w:rPr>
          <w:rFonts w:hint="eastAsia" w:cs="黑体" w:asciiTheme="minorEastAsia" w:hAnsiTheme="minorEastAsia" w:eastAsiaTheme="minorEastAsia"/>
          <w:sz w:val="24"/>
        </w:rPr>
        <w:t>以德铸魂、以文化人、以美育人</w:t>
      </w:r>
      <w:bookmarkEnd w:id="0"/>
      <w:r>
        <w:rPr>
          <w:rFonts w:hint="eastAsia" w:cs="黑体" w:asciiTheme="minorEastAsia" w:hAnsiTheme="minorEastAsia" w:eastAsiaTheme="minorEastAsia"/>
          <w:sz w:val="24"/>
        </w:rPr>
        <w:t>”的素质教育特色，增强学生的自信心、自豪感和自主性，培养具有文化自信、国际视野和审美素养的时代新人。</w:t>
      </w:r>
    </w:p>
    <w:p w14:paraId="05959871">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（四）坚持应用导向，强化能力培养</w:t>
      </w:r>
    </w:p>
    <w:p w14:paraId="7E56D075">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cs="黑体" w:asciiTheme="minorEastAsia" w:hAnsiTheme="minorEastAsia" w:eastAsiaTheme="minorEastAsia"/>
          <w:sz w:val="24"/>
        </w:rPr>
        <w:t>深入贯彻《关于引导部分地方普通本科高校向应用型转变的指导意见》，着重</w:t>
      </w:r>
      <w:r>
        <w:rPr>
          <w:rFonts w:cs="黑体" w:asciiTheme="minorEastAsia" w:hAnsiTheme="minorEastAsia" w:eastAsiaTheme="minorEastAsia"/>
          <w:sz w:val="24"/>
          <w:highlight w:val="none"/>
        </w:rPr>
        <w:t>需求驱动、产教融合、协同发展的战略路径。以产业发展趋势和企业实际需求为引领，紧密对接产业变革，推动人才培养与产业升级深度融合。积极邀请行业领军人物参与人才培养方案的规划与设计，重构并优化应用型专业课程结构，特别注重新技术与艺术创新的融合，彰显应用型人才培养的独特优势。进一步强化产教融合、协同育人的实践模式，确保教育内容与职业标准、教学过程与生产过程无缝对接，着重增强产品开发、科研成果转化等实践能力</w:t>
      </w:r>
      <w:r>
        <w:rPr>
          <w:rFonts w:hint="eastAsia" w:cs="黑体" w:asciiTheme="minorEastAsia" w:hAnsiTheme="minorEastAsia" w:eastAsiaTheme="minorEastAsia"/>
          <w:sz w:val="24"/>
          <w:highlight w:val="none"/>
        </w:rPr>
        <w:t>，</w:t>
      </w:r>
      <w:r>
        <w:rPr>
          <w:rFonts w:cs="黑体" w:asciiTheme="minorEastAsia" w:hAnsiTheme="minorEastAsia" w:eastAsiaTheme="minorEastAsia"/>
          <w:sz w:val="24"/>
          <w:highlight w:val="none"/>
        </w:rPr>
        <w:t>推动学校教育事业迈向新高度。</w:t>
      </w:r>
    </w:p>
    <w:p w14:paraId="75052D29">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highlight w:val="none"/>
        </w:rPr>
      </w:pPr>
      <w:r>
        <w:rPr>
          <w:rFonts w:hint="eastAsia" w:ascii="楷体" w:hAnsi="楷体" w:eastAsia="楷体" w:cs="黑体"/>
          <w:sz w:val="28"/>
          <w:szCs w:val="28"/>
          <w:highlight w:val="none"/>
        </w:rPr>
        <w:t>（五）深化专创融合，强化双创教育</w:t>
      </w:r>
    </w:p>
    <w:p w14:paraId="0F2EC6F3">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highlight w:val="none"/>
        </w:rPr>
      </w:pPr>
      <w:r>
        <w:rPr>
          <w:rFonts w:cs="黑体" w:asciiTheme="minorEastAsia" w:hAnsiTheme="minorEastAsia" w:eastAsiaTheme="minorEastAsia"/>
          <w:sz w:val="24"/>
          <w:highlight w:val="none"/>
        </w:rPr>
        <w:t>深入贯彻落实教育部关于加强大学生创新创业教育的最新指示精神与要求，深化专业教育与创新创业教育的深度融合，紧密结合新质生产力的发展趋势，全面增强学生的创新精神、创业意识</w:t>
      </w:r>
      <w:r>
        <w:rPr>
          <w:rFonts w:hint="eastAsia" w:cs="黑体" w:asciiTheme="minorEastAsia" w:hAnsiTheme="minorEastAsia" w:eastAsiaTheme="minorEastAsia"/>
          <w:sz w:val="24"/>
          <w:highlight w:val="none"/>
        </w:rPr>
        <w:t>和</w:t>
      </w:r>
      <w:r>
        <w:rPr>
          <w:rFonts w:cs="黑体" w:asciiTheme="minorEastAsia" w:hAnsiTheme="minorEastAsia" w:eastAsiaTheme="minorEastAsia"/>
          <w:sz w:val="24"/>
          <w:highlight w:val="none"/>
        </w:rPr>
        <w:t>创新创业能力</w:t>
      </w:r>
      <w:r>
        <w:rPr>
          <w:rFonts w:hint="eastAsia" w:cs="黑体" w:asciiTheme="minorEastAsia" w:hAnsiTheme="minorEastAsia" w:eastAsiaTheme="minorEastAsia"/>
          <w:sz w:val="24"/>
          <w:highlight w:val="none"/>
        </w:rPr>
        <w:t>。构建由课程体系为基础、基地平台为依托、就业创业指导为抓手的创新创业教育体系，</w:t>
      </w:r>
      <w:r>
        <w:rPr>
          <w:rFonts w:cs="黑体" w:asciiTheme="minorEastAsia" w:hAnsiTheme="minorEastAsia" w:eastAsiaTheme="minorEastAsia"/>
          <w:sz w:val="24"/>
          <w:highlight w:val="none"/>
        </w:rPr>
        <w:t>扩大大学生创新创业训练计划项目、创新创业竞赛的支持范围与覆盖率，确保创新创业的培养能够渗透到人才培养的每一个环节。充分挖掘和整合各类专业课程中的创新创业教育资源</w:t>
      </w:r>
      <w:r>
        <w:rPr>
          <w:rFonts w:hint="eastAsia" w:cs="黑体" w:asciiTheme="minorEastAsia" w:hAnsiTheme="minorEastAsia" w:eastAsiaTheme="minorEastAsia"/>
          <w:sz w:val="24"/>
          <w:highlight w:val="none"/>
        </w:rPr>
        <w:t>，发挥专业优势，开展双创项目研究、孵化指导、成果转化等各类活动，促进专业教育与创新创业教育有机融合。</w:t>
      </w:r>
    </w:p>
    <w:p w14:paraId="75A3026D">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sz w:val="28"/>
          <w:szCs w:val="28"/>
          <w:highlight w:val="none"/>
          <w:lang w:eastAsia="zh-Hans"/>
        </w:rPr>
      </w:pPr>
      <w:r>
        <w:rPr>
          <w:rFonts w:hint="eastAsia" w:ascii="黑体" w:hAnsi="黑体" w:eastAsia="黑体" w:cs="黑体"/>
          <w:sz w:val="28"/>
          <w:szCs w:val="28"/>
          <w:highlight w:val="none"/>
        </w:rPr>
        <w:t>三、</w:t>
      </w:r>
      <w:r>
        <w:rPr>
          <w:rFonts w:hint="eastAsia" w:ascii="黑体" w:hAnsi="黑体" w:eastAsia="黑体" w:cs="黑体"/>
          <w:sz w:val="28"/>
          <w:szCs w:val="28"/>
          <w:highlight w:val="none"/>
          <w:lang w:eastAsia="zh-Hans"/>
        </w:rPr>
        <w:t>培养目标</w:t>
      </w:r>
    </w:p>
    <w:p w14:paraId="288523B5">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highlight w:val="none"/>
        </w:rPr>
      </w:pPr>
      <w:r>
        <w:rPr>
          <w:rFonts w:hint="eastAsia" w:ascii="楷体" w:hAnsi="楷体" w:eastAsia="楷体" w:cs="黑体"/>
          <w:sz w:val="28"/>
          <w:szCs w:val="28"/>
          <w:highlight w:val="none"/>
        </w:rPr>
        <w:t>（一）总体培养目标</w:t>
      </w:r>
    </w:p>
    <w:p w14:paraId="3B61B8C7">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bookmarkStart w:id="1" w:name="OLE_LINK2"/>
      <w:r>
        <w:rPr>
          <w:rFonts w:hint="eastAsia" w:cs="黑体" w:asciiTheme="minorEastAsia" w:hAnsiTheme="minorEastAsia" w:eastAsiaTheme="minorEastAsia"/>
          <w:sz w:val="24"/>
          <w:highlight w:val="none"/>
        </w:rPr>
        <w:t>立足广西，面向全国文化艺术行业</w:t>
      </w:r>
      <w:r>
        <w:rPr>
          <w:rFonts w:cs="黑体" w:asciiTheme="minorEastAsia" w:hAnsiTheme="minorEastAsia" w:eastAsiaTheme="minorEastAsia"/>
          <w:sz w:val="24"/>
          <w:highlight w:val="none"/>
        </w:rPr>
        <w:t>数字化、智能化转型趋势，以新质生产力为引领，聚焦科技与文化深度融合、创新链与产业链协同发展</w:t>
      </w:r>
      <w:r>
        <w:rPr>
          <w:rFonts w:hint="eastAsia" w:cs="黑体" w:asciiTheme="minorEastAsia" w:hAnsiTheme="minorEastAsia" w:eastAsiaTheme="minorEastAsia"/>
          <w:sz w:val="24"/>
          <w:highlight w:val="none"/>
        </w:rPr>
        <w:t>，以立德树人为根本任务，着力提高社会责任感、发扬开拓进取精神，培养适应行业发展需求，</w:t>
      </w:r>
      <w:r>
        <w:rPr>
          <w:rFonts w:hint="eastAsia" w:cs="黑体" w:asciiTheme="minorEastAsia" w:hAnsiTheme="minorEastAsia" w:eastAsiaTheme="minorEastAsia"/>
          <w:sz w:val="24"/>
        </w:rPr>
        <w:t>品德高尚、视野开阔、基础扎实、专业应用能力突出、创新创业能力强，德智体美劳全面发展的高素质应用型人才。</w:t>
      </w:r>
    </w:p>
    <w:bookmarkEnd w:id="1"/>
    <w:p w14:paraId="7D1EE6A9">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（二）专业人才培养目标</w:t>
      </w:r>
    </w:p>
    <w:p w14:paraId="16D83E1C">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根据学校人才培养总体目标，坚持应用型人才培养，精心凝练和科学制定可以反映学生毕业5年左右在社会和专业领域的发展预期，包括知识、素质、能力、职业领域、职业特征和人才类型等，凸显专业特色与生命力。专业人才培养目标需延伸到毕业要求，通过课程计划设置支持学生毕业要求的达成，培养目标的制定和评价过程须有利益相关方参与。</w:t>
      </w:r>
    </w:p>
    <w:p w14:paraId="42FCF8A7">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sz w:val="28"/>
          <w:szCs w:val="28"/>
        </w:rPr>
      </w:pPr>
      <w:r>
        <w:rPr>
          <w:rFonts w:hint="eastAsia" w:ascii="黑体" w:hAnsi="黑体" w:eastAsia="黑体" w:cs="黑体"/>
          <w:sz w:val="28"/>
          <w:szCs w:val="28"/>
        </w:rPr>
        <w:t>四、主要内容框架</w:t>
      </w:r>
    </w:p>
    <w:p w14:paraId="70695C0F">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（一）基本信息</w:t>
      </w:r>
    </w:p>
    <w:p w14:paraId="4ABDADD5">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（二）培养目标</w:t>
      </w:r>
    </w:p>
    <w:p w14:paraId="224E70D3">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（三）毕业要求</w:t>
      </w:r>
    </w:p>
    <w:p w14:paraId="03FD547F">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（四）课程计划与毕业要求的对应矩阵</w:t>
      </w:r>
    </w:p>
    <w:p w14:paraId="674A0F8D">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（五）专业特色</w:t>
      </w:r>
    </w:p>
    <w:p w14:paraId="29FAB831">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（六）主干学科</w:t>
      </w:r>
    </w:p>
    <w:p w14:paraId="208FF6D3">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（七）核心课程</w:t>
      </w:r>
    </w:p>
    <w:p w14:paraId="4EA26043">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（八）主要实践性教学环节</w:t>
      </w:r>
    </w:p>
    <w:p w14:paraId="4B985E19">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（九）毕业标准</w:t>
      </w:r>
    </w:p>
    <w:p w14:paraId="3339A152">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（十）教学计划表</w:t>
      </w:r>
    </w:p>
    <w:p w14:paraId="04E30F5E">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sz w:val="28"/>
          <w:szCs w:val="28"/>
        </w:rPr>
      </w:pPr>
      <w:r>
        <w:rPr>
          <w:rFonts w:hint="eastAsia" w:ascii="黑体" w:hAnsi="黑体" w:eastAsia="黑体" w:cs="黑体"/>
          <w:sz w:val="28"/>
          <w:szCs w:val="28"/>
        </w:rPr>
        <w:t>五、具体要求</w:t>
      </w:r>
    </w:p>
    <w:p w14:paraId="551ECDEB">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（一）学制、毕业学分</w:t>
      </w:r>
    </w:p>
    <w:p w14:paraId="4164DACB">
      <w:pPr>
        <w:keepNext w:val="0"/>
        <w:keepLines w:val="0"/>
        <w:pageBreakBefore w:val="0"/>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1.实行弹性学制，标准学制</w:t>
      </w:r>
      <w:r>
        <w:rPr>
          <w:rFonts w:cs="黑体" w:asciiTheme="minorEastAsia" w:hAnsiTheme="minorEastAsia" w:eastAsiaTheme="minorEastAsia"/>
          <w:sz w:val="24"/>
        </w:rPr>
        <w:t>4</w:t>
      </w:r>
      <w:r>
        <w:rPr>
          <w:rFonts w:hint="eastAsia" w:cs="黑体" w:asciiTheme="minorEastAsia" w:hAnsiTheme="minorEastAsia" w:eastAsiaTheme="minorEastAsia"/>
          <w:sz w:val="24"/>
        </w:rPr>
        <w:t>年，学生可在</w:t>
      </w:r>
      <w:r>
        <w:rPr>
          <w:rFonts w:cs="黑体" w:asciiTheme="minorEastAsia" w:hAnsiTheme="minorEastAsia" w:eastAsiaTheme="minorEastAsia"/>
          <w:sz w:val="24"/>
        </w:rPr>
        <w:t>3</w:t>
      </w:r>
      <w:r>
        <w:rPr>
          <w:rFonts w:hint="eastAsia" w:cs="黑体" w:asciiTheme="minorEastAsia" w:hAnsiTheme="minorEastAsia" w:eastAsiaTheme="minorEastAsia"/>
          <w:sz w:val="24"/>
        </w:rPr>
        <w:t>～</w:t>
      </w:r>
      <w:r>
        <w:rPr>
          <w:rFonts w:cs="黑体" w:asciiTheme="minorEastAsia" w:hAnsiTheme="minorEastAsia" w:eastAsiaTheme="minorEastAsia"/>
          <w:sz w:val="24"/>
        </w:rPr>
        <w:t>6</w:t>
      </w:r>
      <w:r>
        <w:rPr>
          <w:rFonts w:hint="eastAsia" w:cs="黑体" w:asciiTheme="minorEastAsia" w:hAnsiTheme="minorEastAsia" w:eastAsiaTheme="minorEastAsia"/>
          <w:sz w:val="24"/>
        </w:rPr>
        <w:t>年内修完规定的毕业学分或更多的学分。符合学校学士学位授予条件的，授予学士学位。</w:t>
      </w:r>
    </w:p>
    <w:p w14:paraId="411A725F">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2.允许学生调整学业进程、保留学籍休学创业，休学创业保留学籍年限根据相关文件规定执行。</w:t>
      </w:r>
    </w:p>
    <w:p w14:paraId="10D56B13">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3.哲学、教育学、中国语言文学、戏剧与影视学、设计学类专业总学分不超过160学分；美术学、音乐与舞蹈学类专业总学分不超过170学分。</w:t>
      </w:r>
    </w:p>
    <w:p w14:paraId="56088F65">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学时学分计算：</w:t>
      </w:r>
    </w:p>
    <w:p w14:paraId="3D509744">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通识教育、创新创业与素质拓展模块：按16学时计1学分，大学体育、安全教育、职业生涯规划与就业指导、劳动教育等课程按照教育部相关文件折算学时学分。</w:t>
      </w:r>
    </w:p>
    <w:p w14:paraId="1C22A1E9">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专业教育模块：设计学、美术学、戏剧与影视学类专业按20学时计1学分，其余专业按16学时计1学分。</w:t>
      </w:r>
    </w:p>
    <w:p w14:paraId="39C20FE1">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jc w:val="right"/>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实践教育模块：以学时计的实验课程按照专业教育模块折算，大四学年毕业考</w:t>
      </w:r>
    </w:p>
    <w:p w14:paraId="17A4706C">
      <w:pPr>
        <w:keepNext w:val="0"/>
        <w:keepLines w:val="0"/>
        <w:pageBreakBefore w:val="0"/>
        <w:widowControl/>
        <w:shd w:val="clear"/>
        <w:kinsoku/>
        <w:wordWrap/>
        <w:overflowPunct/>
        <w:topLinePunct w:val="0"/>
        <w:autoSpaceDE/>
        <w:autoSpaceDN/>
        <w:bidi w:val="0"/>
        <w:adjustRightInd/>
        <w:snapToGrid/>
        <w:spacing w:line="500" w:lineRule="exact"/>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查、毕业实习、毕业设计每2周计1学分，其余整周实践每1周计1学分。</w:t>
      </w:r>
    </w:p>
    <w:p w14:paraId="2F9AE64B">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4.课程计划表中所有课程的学分数应是0.5的整数倍。</w:t>
      </w:r>
    </w:p>
    <w:p w14:paraId="575BECB9">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（二）学期安排与周学时要求</w:t>
      </w:r>
    </w:p>
    <w:p w14:paraId="5F65DB60">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1.每学年为两个学期，共38周。第1学期授课周数一般为16周（含军事训练、写生等实践教育），2-8学期每学期授课周数一般为17～19周，复习考试周数为1周。</w:t>
      </w:r>
    </w:p>
    <w:p w14:paraId="4D416A26">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jc w:val="left"/>
        <w:textAlignment w:val="auto"/>
        <w:rPr>
          <w:rFonts w:hint="eastAsia" w:cs="黑体" w:asciiTheme="minorEastAsia" w:hAnsiTheme="minorEastAsia" w:eastAsiaTheme="minorEastAsia"/>
          <w:sz w:val="24"/>
          <w:highlight w:val="none"/>
        </w:rPr>
      </w:pPr>
      <w:r>
        <w:rPr>
          <w:rFonts w:hint="eastAsia" w:cs="黑体" w:asciiTheme="minorEastAsia" w:hAnsiTheme="minorEastAsia" w:eastAsiaTheme="minorEastAsia"/>
          <w:sz w:val="24"/>
          <w:highlight w:val="none"/>
        </w:rPr>
        <w:t>2.每学期平均周学时原则上不超过28学时。</w:t>
      </w:r>
    </w:p>
    <w:p w14:paraId="2A76FE7E">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3.根据应用型人才培养的实际需要和学生认知规律，均衡考虑每学期课内外学时和学分，保证教学周内每天都有适量的教学任务（见习或实习期间除外）。</w:t>
      </w:r>
    </w:p>
    <w:p w14:paraId="17F9BA33">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textAlignment w:val="auto"/>
        <w:rPr>
          <w:rFonts w:hint="eastAsia" w:ascii="楷体" w:hAnsi="楷体" w:eastAsia="楷体" w:cs="黑体"/>
          <w:sz w:val="28"/>
          <w:szCs w:val="28"/>
        </w:rPr>
      </w:pPr>
      <w:r>
        <w:rPr>
          <w:rFonts w:hint="eastAsia" w:ascii="楷体" w:hAnsi="楷体" w:eastAsia="楷体" w:cs="黑体"/>
          <w:sz w:val="28"/>
          <w:szCs w:val="28"/>
        </w:rPr>
        <w:t>（三）考核类型</w:t>
      </w:r>
    </w:p>
    <w:p w14:paraId="7B5406F2">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jc w:val="left"/>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各专业以激发学生学习兴趣，培养学生的综合素质为目标，谨慎、稳妥地确定考核类型，提倡考核形式的多样化，探索利用数字化技术进行考核改革。</w:t>
      </w:r>
    </w:p>
    <w:p w14:paraId="7C637E12">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（四）实践教学学分比率要求</w:t>
      </w:r>
    </w:p>
    <w:p w14:paraId="29EED44C">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1.教育学、艺术学学科门类专业实践教学学分应占总学分的25%—35%。</w:t>
      </w:r>
    </w:p>
    <w:p w14:paraId="3A74DACE">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2.哲学、文学学科门类专业实践教学学分应占总学分的20%—25%。</w:t>
      </w:r>
    </w:p>
    <w:p w14:paraId="6127E637">
      <w:pPr>
        <w:keepNext w:val="0"/>
        <w:keepLines w:val="0"/>
        <w:pageBreakBefore w:val="0"/>
        <w:widowControl/>
        <w:shd w:val="clear"/>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sz w:val="28"/>
          <w:szCs w:val="28"/>
        </w:rPr>
      </w:pPr>
      <w:r>
        <w:rPr>
          <w:rFonts w:hint="eastAsia" w:ascii="黑体" w:hAnsi="黑体" w:eastAsia="黑体" w:cs="黑体"/>
          <w:sz w:val="28"/>
          <w:szCs w:val="28"/>
        </w:rPr>
        <w:t>六、课程体系</w:t>
      </w:r>
    </w:p>
    <w:p w14:paraId="2FC0D085">
      <w:pPr>
        <w:keepNext w:val="0"/>
        <w:keepLines w:val="0"/>
        <w:pageBreakBefore w:val="0"/>
        <w:widowControl/>
        <w:shd w:val="clear"/>
        <w:kinsoku/>
        <w:wordWrap/>
        <w:overflowPunct/>
        <w:topLinePunct w:val="0"/>
        <w:autoSpaceDE/>
        <w:autoSpaceDN/>
        <w:bidi w:val="0"/>
        <w:adjustRightInd/>
        <w:snapToGrid/>
        <w:spacing w:line="500" w:lineRule="exact"/>
        <w:ind w:firstLine="480" w:firstLineChars="200"/>
        <w:textAlignment w:val="auto"/>
        <w:rPr>
          <w:rFonts w:hint="eastAsia" w:ascii="黑体" w:hAnsi="黑体" w:eastAsia="黑体" w:cs="黑体"/>
          <w:sz w:val="24"/>
        </w:rPr>
      </w:pPr>
      <w:r>
        <w:rPr>
          <w:rFonts w:hint="eastAsia" w:cs="黑体" w:asciiTheme="minorEastAsia" w:hAnsiTheme="minorEastAsia" w:eastAsiaTheme="minorEastAsia"/>
          <w:sz w:val="24"/>
        </w:rPr>
        <w:t>课程体系由通识教育模块、创新创业与素质拓展模块、专业教育模块和实践教育模块四大模块构成，如图1所示。所有课程均需按《北海艺术设计学院关于规范课程编码、课程名称及开课号的规定（修订）》（北艺教务〔2024〕68号）进行编码。</w:t>
      </w:r>
    </w:p>
    <w:p w14:paraId="44A357F7">
      <w:pPr>
        <w:widowControl/>
        <w:spacing w:line="300" w:lineRule="auto"/>
        <w:ind w:firstLine="480" w:firstLineChars="200"/>
        <w:jc w:val="center"/>
        <w:rPr>
          <w:rFonts w:hint="eastAsia" w:ascii="楷体" w:hAnsi="楷体" w:eastAsia="楷体" w:cs="黑体"/>
          <w:sz w:val="28"/>
          <w:szCs w:val="28"/>
        </w:rPr>
      </w:pPr>
      <w:r>
        <w:rPr>
          <w:rFonts w:hint="eastAsia" w:ascii="宋体" w:hAnsi="宋体" w:cs="宋体"/>
          <w:sz w:val="24"/>
        </w:rPr>
        <w:drawing>
          <wp:anchor distT="0" distB="0" distL="114300" distR="114300" simplePos="0" relativeHeight="251660288" behindDoc="0" locked="0" layoutInCell="1" allowOverlap="1">
            <wp:simplePos x="0" y="0"/>
            <wp:positionH relativeFrom="margin">
              <wp:posOffset>-150495</wp:posOffset>
            </wp:positionH>
            <wp:positionV relativeFrom="page">
              <wp:posOffset>3145790</wp:posOffset>
            </wp:positionV>
            <wp:extent cx="5887720" cy="3929380"/>
            <wp:effectExtent l="0" t="0" r="17780" b="13970"/>
            <wp:wrapSquare wrapText="bothSides"/>
            <wp:docPr id="1" name="图片 1"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图片1.png图片1"/>
                    <pic:cNvPicPr>
                      <a:picLocks noChangeAspect="1" noChangeArrowheads="1"/>
                    </pic:cNvPicPr>
                  </pic:nvPicPr>
                  <pic:blipFill>
                    <a:blip r:embed="rId6"/>
                    <a:srcRect/>
                    <a:stretch>
                      <a:fillRect/>
                    </a:stretch>
                  </pic:blipFill>
                  <pic:spPr>
                    <a:xfrm>
                      <a:off x="0" y="0"/>
                      <a:ext cx="5887720" cy="3929380"/>
                    </a:xfrm>
                    <a:prstGeom prst="rect">
                      <a:avLst/>
                    </a:prstGeom>
                    <a:noFill/>
                    <a:ln>
                      <a:noFill/>
                    </a:ln>
                  </pic:spPr>
                </pic:pic>
              </a:graphicData>
            </a:graphic>
          </wp:anchor>
        </w:drawing>
      </w:r>
      <w:r>
        <w:rPr>
          <w:rFonts w:hint="eastAsia" w:ascii="宋体" w:hAnsi="宋体" w:cs="仿宋_GB2312"/>
          <w:bCs/>
          <w:color w:val="000000"/>
          <w:kern w:val="0"/>
          <w:sz w:val="24"/>
        </w:rPr>
        <w:t>图1</w:t>
      </w:r>
      <w:r>
        <w:rPr>
          <w:rFonts w:ascii="宋体" w:hAnsi="宋体" w:cs="仿宋_GB2312"/>
          <w:bCs/>
          <w:color w:val="000000"/>
          <w:kern w:val="0"/>
          <w:sz w:val="24"/>
        </w:rPr>
        <w:t xml:space="preserve"> </w:t>
      </w:r>
      <w:r>
        <w:rPr>
          <w:rFonts w:hint="eastAsia" w:ascii="宋体" w:hAnsi="宋体"/>
          <w:bCs/>
          <w:sz w:val="24"/>
        </w:rPr>
        <w:t>课程体系</w:t>
      </w:r>
    </w:p>
    <w:p w14:paraId="00876A5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（一）通识教育模块</w:t>
      </w:r>
    </w:p>
    <w:p w14:paraId="03394D0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1.公共基础课</w:t>
      </w:r>
    </w:p>
    <w:p w14:paraId="1E9F63E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公共基础课是为提高学生思想政治理论修养、身心素质、社会责任感</w:t>
      </w:r>
      <w:r>
        <w:rPr>
          <w:rFonts w:hint="eastAsia" w:cs="黑体" w:asciiTheme="minorEastAsia" w:hAnsiTheme="minorEastAsia" w:eastAsiaTheme="minorEastAsia"/>
          <w:sz w:val="24"/>
          <w:lang w:val="en-US" w:eastAsia="zh-CN"/>
        </w:rPr>
        <w:t>开设</w:t>
      </w:r>
      <w:r>
        <w:rPr>
          <w:rFonts w:hint="eastAsia" w:cs="黑体" w:asciiTheme="minorEastAsia" w:hAnsiTheme="minorEastAsia" w:eastAsiaTheme="minorEastAsia"/>
          <w:sz w:val="24"/>
        </w:rPr>
        <w:t>的课程，具体包括：思想政治理论课程（思想道德与法治、中国近现代史纲要、马克思主义基本原理、毛泽东思想和中国特色社会主义理论体系概论、习近平新时代中国特色社会主义思想概论、形势与政策、社会主义发展简史）、中华民族共同体概论、大学生心理健康教育、安全教育、国家安全教育、军事理论、职业生涯规划与就业指导、劳动教育、大学体育</w:t>
      </w:r>
      <w:r>
        <w:rPr>
          <w:rFonts w:hint="eastAsia" w:cs="黑体" w:asciiTheme="minorEastAsia" w:hAnsiTheme="minorEastAsia" w:eastAsiaTheme="minorEastAsia"/>
          <w:sz w:val="24"/>
          <w:lang w:eastAsia="zh-CN"/>
        </w:rPr>
        <w:t>、</w:t>
      </w:r>
      <w:r>
        <w:rPr>
          <w:rFonts w:hint="eastAsia" w:cs="黑体" w:asciiTheme="minorEastAsia" w:hAnsiTheme="minorEastAsia" w:eastAsiaTheme="minorEastAsia"/>
          <w:sz w:val="24"/>
        </w:rPr>
        <w:t>大学计算机基础、</w:t>
      </w:r>
      <w:r>
        <w:rPr>
          <w:rFonts w:hint="eastAsia" w:cs="黑体" w:asciiTheme="minorEastAsia" w:hAnsiTheme="minorEastAsia" w:eastAsiaTheme="minorEastAsia"/>
          <w:sz w:val="24"/>
          <w:lang w:val="en-US" w:eastAsia="zh-CN"/>
        </w:rPr>
        <w:t>人工智能导论、</w:t>
      </w:r>
      <w:r>
        <w:rPr>
          <w:rFonts w:hint="eastAsia" w:cs="黑体" w:asciiTheme="minorEastAsia" w:hAnsiTheme="minorEastAsia" w:eastAsiaTheme="minorEastAsia"/>
          <w:sz w:val="24"/>
        </w:rPr>
        <w:t>大学外语等，根据教育部文件精神开足开齐公共课程，在修业年限内，学生需修满该模块41学分。</w:t>
      </w:r>
    </w:p>
    <w:p w14:paraId="688570B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2.人文素养通识教育课</w:t>
      </w:r>
    </w:p>
    <w:p w14:paraId="1D4256A0">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人文素养通识教育课程面向全校学生开设，突出学校办学特色，坚持“以德铸魂、以文化人、以美育人”，大力弘扬汉字文化和中国精神，感受艺术魅力，提升人文素养和设计审美素养，开阔学生视野，使学生认识美，坚定文化自信</w:t>
      </w:r>
      <w:r>
        <w:rPr>
          <w:rFonts w:hint="eastAsia" w:cs="黑体" w:asciiTheme="minorEastAsia" w:hAnsiTheme="minorEastAsia" w:eastAsiaTheme="minorEastAsia"/>
          <w:sz w:val="24"/>
          <w:lang w:eastAsia="zh-CN"/>
        </w:rPr>
        <w:t>，</w:t>
      </w:r>
      <w:r>
        <w:rPr>
          <w:rFonts w:hint="eastAsia" w:cs="黑体" w:asciiTheme="minorEastAsia" w:hAnsiTheme="minorEastAsia" w:eastAsiaTheme="minorEastAsia"/>
          <w:sz w:val="24"/>
          <w:lang w:val="en-US" w:eastAsia="zh-CN"/>
        </w:rPr>
        <w:t>包括限选课和任选课</w:t>
      </w:r>
      <w:r>
        <w:rPr>
          <w:rFonts w:hint="eastAsia" w:cs="黑体" w:asciiTheme="minorEastAsia" w:hAnsiTheme="minorEastAsia" w:eastAsiaTheme="minorEastAsia"/>
          <w:sz w:val="24"/>
        </w:rPr>
        <w:t>。在修业年限内，学生选修该模块课程不少于18学分，其中限选课不少于15学分，任选课不少于3学分。中国艺术设计史、外国艺术设计史属于公共艺术课程共计3学分，艺海素质教育课以第二课堂的形式开设。</w:t>
      </w:r>
    </w:p>
    <w:p w14:paraId="758B554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w:t>
      </w:r>
      <w:r>
        <w:rPr>
          <w:rFonts w:hint="eastAsia" w:ascii="楷体" w:hAnsi="楷体" w:eastAsia="楷体" w:cs="黑体"/>
          <w:sz w:val="28"/>
          <w:szCs w:val="28"/>
          <w:lang w:eastAsia="zh-Hans"/>
        </w:rPr>
        <w:t>二</w:t>
      </w:r>
      <w:r>
        <w:rPr>
          <w:rFonts w:hint="eastAsia" w:ascii="楷体" w:hAnsi="楷体" w:eastAsia="楷体" w:cs="黑体"/>
          <w:sz w:val="28"/>
          <w:szCs w:val="28"/>
        </w:rPr>
        <w:t>）</w:t>
      </w:r>
      <w:r>
        <w:rPr>
          <w:rFonts w:hint="eastAsia" w:ascii="楷体" w:hAnsi="楷体" w:eastAsia="楷体" w:cs="黑体"/>
          <w:sz w:val="28"/>
          <w:szCs w:val="28"/>
          <w:lang w:eastAsia="zh-Hans"/>
        </w:rPr>
        <w:t>创新创业与素质拓展模块</w:t>
      </w:r>
    </w:p>
    <w:p w14:paraId="24112A66">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创新创业与素质拓展模块主要包括创新创业课和科技与社会。创新创业课包括创新创业基础、专业创新提升、创新创业实践等必修课程。科技与社会属于分散实践类选修课，通过参加第二课堂的创业实战、科技、文化艺术、体育、阅读、学科竞赛等活动认定学分。在修业年限内，每个学生至少获得该模块必修课7学分，选修课不少于1学分。</w:t>
      </w:r>
    </w:p>
    <w:p w14:paraId="387121D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w:t>
      </w:r>
      <w:r>
        <w:rPr>
          <w:rFonts w:hint="eastAsia" w:ascii="楷体" w:hAnsi="楷体" w:eastAsia="楷体" w:cs="黑体"/>
          <w:sz w:val="28"/>
          <w:szCs w:val="28"/>
          <w:lang w:eastAsia="zh-Hans"/>
        </w:rPr>
        <w:t>三</w:t>
      </w:r>
      <w:r>
        <w:rPr>
          <w:rFonts w:hint="eastAsia" w:ascii="楷体" w:hAnsi="楷体" w:eastAsia="楷体" w:cs="黑体"/>
          <w:sz w:val="28"/>
          <w:szCs w:val="28"/>
        </w:rPr>
        <w:t>）专业教育模块</w:t>
      </w:r>
    </w:p>
    <w:p w14:paraId="14053DD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1.专业基础课</w:t>
      </w:r>
    </w:p>
    <w:p w14:paraId="4E56E17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专业基础课是由学生必须掌握的本专业的基本知识、基本理论和基本技能的课程构成，属必修课。按照《国标》要求开设，侧重对学生的专业基础知识和专业技能的教育培养。</w:t>
      </w:r>
    </w:p>
    <w:p w14:paraId="424BAB7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2.专业主干课</w:t>
      </w:r>
    </w:p>
    <w:p w14:paraId="37E3C1C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专业主干课是学生必修的专业核心理论知识课程，应体现专业培养目标的核心要求，体现所服务的产业行业本质要求。</w:t>
      </w:r>
    </w:p>
    <w:p w14:paraId="4927938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lang w:val="en-US" w:eastAsia="zh-CN"/>
        </w:rPr>
        <w:t>3.</w:t>
      </w:r>
      <w:r>
        <w:rPr>
          <w:rFonts w:hint="eastAsia" w:cs="黑体" w:asciiTheme="minorEastAsia" w:hAnsiTheme="minorEastAsia" w:eastAsiaTheme="minorEastAsia"/>
          <w:sz w:val="24"/>
        </w:rPr>
        <w:t>专业方向课</w:t>
      </w:r>
    </w:p>
    <w:p w14:paraId="1FE0674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专业方向课是在完成相应基础课和主干课程后，突出专业特色的深化与创新课程，体现方向化的自主发展，每个专业可设置2—3个专业方向。学生根据专业方向的不同选择其中一组课程修读，不分方向的专业不设方向课。</w:t>
      </w:r>
    </w:p>
    <w:p w14:paraId="17AFC346">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4.专业拓展课</w:t>
      </w:r>
    </w:p>
    <w:p w14:paraId="2126BFA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专业拓展课主要是指专业领域维度拓展、横向延伸的课程，在体现专业培养目标的基础上，根据专业特点和办学特色而开设的特色课程和创新课程。各专业必须最大限度关注广大学生学习需求，在修业年限内，每个学生选修学分应占修读专业总学分的</w:t>
      </w:r>
      <w:r>
        <w:rPr>
          <w:rFonts w:hint="eastAsia" w:cs="黑体" w:asciiTheme="minorEastAsia" w:hAnsiTheme="minorEastAsia" w:eastAsiaTheme="minorEastAsia"/>
          <w:sz w:val="24"/>
          <w:lang w:val="en-US" w:eastAsia="zh-CN"/>
        </w:rPr>
        <w:t>8</w:t>
      </w:r>
      <w:r>
        <w:rPr>
          <w:rFonts w:hint="eastAsia" w:cs="黑体" w:asciiTheme="minorEastAsia" w:hAnsiTheme="minorEastAsia" w:eastAsiaTheme="minorEastAsia"/>
          <w:sz w:val="24"/>
        </w:rPr>
        <w:t>%左右（《国标》有规定除外）。</w:t>
      </w:r>
    </w:p>
    <w:p w14:paraId="6CABB56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黑体"/>
          <w:sz w:val="28"/>
          <w:szCs w:val="28"/>
        </w:rPr>
      </w:pPr>
      <w:r>
        <w:rPr>
          <w:rFonts w:hint="eastAsia" w:ascii="楷体" w:hAnsi="楷体" w:eastAsia="楷体" w:cs="黑体"/>
          <w:sz w:val="28"/>
          <w:szCs w:val="28"/>
        </w:rPr>
        <w:t>（四）实践教育模块</w:t>
      </w:r>
    </w:p>
    <w:p w14:paraId="5D54AD3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1.公共实践是指全校统一开设的整周集中实践课，包括军事训练、社会实践。军事训练共</w:t>
      </w:r>
      <w:r>
        <w:rPr>
          <w:rFonts w:hint="eastAsia" w:cs="黑体" w:asciiTheme="minorEastAsia" w:hAnsiTheme="minorEastAsia" w:eastAsiaTheme="minorEastAsia"/>
          <w:sz w:val="24"/>
          <w:lang w:val="en-US" w:eastAsia="zh-CN"/>
        </w:rPr>
        <w:t>3</w:t>
      </w:r>
      <w:r>
        <w:rPr>
          <w:rFonts w:hint="eastAsia" w:cs="黑体" w:asciiTheme="minorEastAsia" w:hAnsiTheme="minorEastAsia" w:eastAsiaTheme="minorEastAsia"/>
          <w:sz w:val="24"/>
        </w:rPr>
        <w:t>周计2学分，社会实</w:t>
      </w:r>
      <w:bookmarkStart w:id="2" w:name="_GoBack"/>
      <w:bookmarkEnd w:id="2"/>
      <w:r>
        <w:rPr>
          <w:rFonts w:hint="eastAsia" w:cs="黑体" w:asciiTheme="minorEastAsia" w:hAnsiTheme="minorEastAsia" w:eastAsiaTheme="minorEastAsia"/>
          <w:sz w:val="24"/>
        </w:rPr>
        <w:t>践不少于4周共计1学分。</w:t>
      </w:r>
    </w:p>
    <w:p w14:paraId="1C852FF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2.课程实践是指独立开设的专业综合实践课，原则上每个学年至少安排1门。</w:t>
      </w:r>
    </w:p>
    <w:p w14:paraId="5EDDEEEB">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3.专业实践是指各专业开设的整周集中实践课，包括专业写生、专业考察、专业见习、课程设计、毕业设计（论文、创作）等，原则上毕业实习在第七学期进行（包含寒暑假），毕业设计（论文、创作）在第7和第8学期进行。</w:t>
      </w:r>
    </w:p>
    <w:p w14:paraId="69D3A5B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4.各专业可根据专业特点在人才培养方案中设置与专业能力相应的基于职业能力训练的实践教学环节，以提升学生的专业能力与素养。</w:t>
      </w:r>
    </w:p>
    <w:p w14:paraId="1F9EAB2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sz w:val="28"/>
          <w:szCs w:val="28"/>
        </w:rPr>
      </w:pPr>
      <w:r>
        <w:rPr>
          <w:rFonts w:hint="eastAsia" w:ascii="黑体" w:hAnsi="黑体" w:eastAsia="黑体" w:cs="黑体"/>
          <w:sz w:val="28"/>
          <w:szCs w:val="28"/>
        </w:rPr>
        <w:t>七、说明</w:t>
      </w:r>
    </w:p>
    <w:p w14:paraId="2938CDF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cs="黑体" w:asciiTheme="minorEastAsia" w:hAnsiTheme="minorEastAsia" w:eastAsiaTheme="minorEastAsia"/>
          <w:sz w:val="24"/>
        </w:rPr>
      </w:pPr>
      <w:r>
        <w:rPr>
          <w:rFonts w:hint="eastAsia" w:cs="黑体" w:asciiTheme="minorEastAsia" w:hAnsiTheme="minorEastAsia" w:eastAsiaTheme="minorEastAsia"/>
          <w:sz w:val="24"/>
        </w:rPr>
        <w:t>（一）原则上培养方案一经公布，在该版本使用期内不能变动更改，必须修改的，按照《北海艺术设计学院本科人才培养方案管理办法》（北艺教发〔2021〕86号）要求办理异动手续。</w:t>
      </w:r>
    </w:p>
    <w:p w14:paraId="6289CBE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sz w:val="24"/>
        </w:rPr>
      </w:pPr>
      <w:r>
        <w:rPr>
          <w:rFonts w:hint="eastAsia" w:cs="黑体" w:asciiTheme="minorEastAsia" w:hAnsiTheme="minorEastAsia" w:eastAsiaTheme="minorEastAsia"/>
          <w:sz w:val="24"/>
        </w:rPr>
        <w:t>（二）本指导意见由教务处负责解释。</w:t>
      </w:r>
    </w:p>
    <w:p w14:paraId="772A6FF5">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cs="宋体"/>
          <w:sz w:val="24"/>
        </w:rPr>
      </w:pPr>
    </w:p>
    <w:p w14:paraId="6211A980">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cs="宋体"/>
          <w:sz w:val="24"/>
        </w:rPr>
      </w:pPr>
    </w:p>
    <w:p w14:paraId="55814714">
      <w:pPr>
        <w:keepNext w:val="0"/>
        <w:keepLines w:val="0"/>
        <w:pageBreakBefore w:val="0"/>
        <w:kinsoku/>
        <w:wordWrap/>
        <w:overflowPunct/>
        <w:topLinePunct w:val="0"/>
        <w:autoSpaceDE/>
        <w:autoSpaceDN/>
        <w:bidi w:val="0"/>
        <w:adjustRightInd/>
        <w:snapToGrid/>
        <w:spacing w:line="500" w:lineRule="exact"/>
        <w:ind w:firstLine="1200" w:firstLineChars="500"/>
        <w:jc w:val="center"/>
        <w:textAlignment w:val="auto"/>
        <w:rPr>
          <w:rFonts w:hint="eastAsia" w:ascii="宋体" w:hAnsi="宋体" w:cs="宋体"/>
          <w:bCs/>
          <w:color w:val="000000"/>
          <w:kern w:val="0"/>
          <w:sz w:val="24"/>
        </w:rPr>
      </w:pPr>
      <w:r>
        <w:rPr>
          <w:rFonts w:hint="eastAsia" w:ascii="宋体" w:hAnsi="宋体" w:cs="宋体"/>
          <w:bCs/>
          <w:color w:val="000000"/>
          <w:kern w:val="0"/>
          <w:sz w:val="24"/>
        </w:rPr>
        <w:t xml:space="preserve">                  北海艺术设计学院教务处     </w:t>
      </w:r>
    </w:p>
    <w:p w14:paraId="3F5B4FBD">
      <w:pPr>
        <w:keepNext w:val="0"/>
        <w:keepLines w:val="0"/>
        <w:pageBreakBefore w:val="0"/>
        <w:widowControl/>
        <w:kinsoku/>
        <w:wordWrap/>
        <w:overflowPunct/>
        <w:topLinePunct w:val="0"/>
        <w:autoSpaceDE/>
        <w:autoSpaceDN/>
        <w:bidi w:val="0"/>
        <w:adjustRightInd/>
        <w:snapToGrid/>
        <w:spacing w:line="500" w:lineRule="exact"/>
        <w:ind w:right="320" w:firstLine="480"/>
        <w:jc w:val="center"/>
        <w:textAlignment w:val="auto"/>
        <w:rPr>
          <w:rFonts w:hint="eastAsia" w:ascii="方正仿宋简体" w:hAnsi="方正仿宋简体" w:eastAsia="方正仿宋简体" w:cs="方正仿宋简体"/>
          <w:kern w:val="0"/>
          <w:sz w:val="24"/>
        </w:rPr>
      </w:pPr>
      <w:r>
        <w:rPr>
          <w:rFonts w:hint="eastAsia" w:ascii="宋体" w:hAnsi="宋体" w:cs="宋体"/>
          <w:bCs/>
          <w:color w:val="000000"/>
          <w:kern w:val="0"/>
          <w:sz w:val="24"/>
        </w:rPr>
        <w:t xml:space="preserve">                           202</w:t>
      </w:r>
      <w:r>
        <w:rPr>
          <w:rFonts w:hint="eastAsia" w:ascii="宋体" w:hAnsi="宋体" w:cs="宋体"/>
          <w:bCs/>
          <w:color w:val="000000"/>
          <w:kern w:val="0"/>
          <w:sz w:val="24"/>
          <w:lang w:val="en-US" w:eastAsia="zh-CN"/>
        </w:rPr>
        <w:t>6</w:t>
      </w:r>
      <w:r>
        <w:rPr>
          <w:rFonts w:hint="eastAsia" w:ascii="宋体" w:hAnsi="宋体" w:cs="宋体"/>
          <w:bCs/>
          <w:color w:val="000000"/>
          <w:kern w:val="0"/>
          <w:sz w:val="24"/>
        </w:rPr>
        <w:t>年</w:t>
      </w:r>
      <w:r>
        <w:rPr>
          <w:rFonts w:hint="eastAsia" w:ascii="宋体" w:hAnsi="宋体" w:cs="宋体"/>
          <w:bCs/>
          <w:color w:val="000000"/>
          <w:kern w:val="0"/>
          <w:sz w:val="24"/>
          <w:lang w:val="en-US" w:eastAsia="zh-CN"/>
        </w:rPr>
        <w:t>4</w:t>
      </w:r>
      <w:r>
        <w:rPr>
          <w:rFonts w:hint="eastAsia" w:ascii="宋体" w:hAnsi="宋体" w:cs="宋体"/>
          <w:bCs/>
          <w:color w:val="000000"/>
          <w:kern w:val="0"/>
          <w:sz w:val="24"/>
        </w:rPr>
        <w:t>月</w:t>
      </w:r>
      <w:r>
        <w:rPr>
          <w:rFonts w:hint="eastAsia" w:ascii="宋体" w:hAnsi="宋体" w:cs="宋体"/>
          <w:bCs/>
          <w:color w:val="000000"/>
          <w:kern w:val="0"/>
          <w:sz w:val="24"/>
          <w:lang w:val="en-US" w:eastAsia="zh-CN"/>
        </w:rPr>
        <w:t>20</w:t>
      </w:r>
      <w:r>
        <w:rPr>
          <w:rFonts w:hint="eastAsia" w:ascii="宋体" w:hAnsi="宋体" w:cs="宋体"/>
          <w:bCs/>
          <w:color w:val="000000"/>
          <w:kern w:val="0"/>
          <w:sz w:val="24"/>
        </w:rPr>
        <w:t xml:space="preserve">日   </w:t>
      </w:r>
      <w:r>
        <w:rPr>
          <w:rFonts w:hint="eastAsia" w:ascii="方正仿宋简体" w:hAnsi="方正仿宋简体" w:eastAsia="方正仿宋简体" w:cs="方正仿宋简体"/>
          <w:kern w:val="0"/>
          <w:sz w:val="24"/>
        </w:rPr>
        <w:t xml:space="preserve"> </w:t>
      </w:r>
    </w:p>
    <w:sectPr>
      <w:headerReference r:id="rId3" w:type="default"/>
      <w:footerReference r:id="rId4" w:type="default"/>
      <w:pgSz w:w="11906" w:h="16838"/>
      <w:pgMar w:top="1701" w:right="1587" w:bottom="1701"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B86F9">
    <w:pPr>
      <w:pStyle w:val="8"/>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99D4A8">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C99D4A8">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26466">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QzZjA4NzY4ZjY1NTRiZmE4MTE2ZDE2MmZhZjgwZGEifQ=="/>
    <w:docVar w:name="KSO_WPS_MARK_KEY" w:val="86326c4c-d40a-4f51-b5cb-794c8ebd1fba"/>
  </w:docVars>
  <w:rsids>
    <w:rsidRoot w:val="00B76A35"/>
    <w:rsid w:val="000008CE"/>
    <w:rsid w:val="00003B62"/>
    <w:rsid w:val="000132FB"/>
    <w:rsid w:val="000139DA"/>
    <w:rsid w:val="0001484D"/>
    <w:rsid w:val="00016953"/>
    <w:rsid w:val="00017CE9"/>
    <w:rsid w:val="000227BC"/>
    <w:rsid w:val="00022BFC"/>
    <w:rsid w:val="000260D4"/>
    <w:rsid w:val="00026829"/>
    <w:rsid w:val="000313B5"/>
    <w:rsid w:val="00032C08"/>
    <w:rsid w:val="000348BE"/>
    <w:rsid w:val="00035F74"/>
    <w:rsid w:val="00042C9A"/>
    <w:rsid w:val="00044758"/>
    <w:rsid w:val="00050329"/>
    <w:rsid w:val="000504B5"/>
    <w:rsid w:val="0005055F"/>
    <w:rsid w:val="0005110D"/>
    <w:rsid w:val="00053ABD"/>
    <w:rsid w:val="00054361"/>
    <w:rsid w:val="000570F4"/>
    <w:rsid w:val="00060D39"/>
    <w:rsid w:val="000616C0"/>
    <w:rsid w:val="0006483B"/>
    <w:rsid w:val="00065BAF"/>
    <w:rsid w:val="000700E3"/>
    <w:rsid w:val="0007323E"/>
    <w:rsid w:val="00073467"/>
    <w:rsid w:val="000760D4"/>
    <w:rsid w:val="00076175"/>
    <w:rsid w:val="00076924"/>
    <w:rsid w:val="00080533"/>
    <w:rsid w:val="00080ADA"/>
    <w:rsid w:val="00090799"/>
    <w:rsid w:val="00090A9F"/>
    <w:rsid w:val="00091044"/>
    <w:rsid w:val="000930C7"/>
    <w:rsid w:val="00093757"/>
    <w:rsid w:val="00095F83"/>
    <w:rsid w:val="0009644B"/>
    <w:rsid w:val="0009650A"/>
    <w:rsid w:val="0009689B"/>
    <w:rsid w:val="00096A38"/>
    <w:rsid w:val="000972FE"/>
    <w:rsid w:val="00097EE2"/>
    <w:rsid w:val="00097F5D"/>
    <w:rsid w:val="000A0CBC"/>
    <w:rsid w:val="000A1FFB"/>
    <w:rsid w:val="000A38B4"/>
    <w:rsid w:val="000A4DB9"/>
    <w:rsid w:val="000A7A16"/>
    <w:rsid w:val="000B1ABB"/>
    <w:rsid w:val="000B2910"/>
    <w:rsid w:val="000B2E3C"/>
    <w:rsid w:val="000B3DA8"/>
    <w:rsid w:val="000B5854"/>
    <w:rsid w:val="000B688B"/>
    <w:rsid w:val="000C0EA8"/>
    <w:rsid w:val="000C0FBD"/>
    <w:rsid w:val="000C2345"/>
    <w:rsid w:val="000C3F5E"/>
    <w:rsid w:val="000C608F"/>
    <w:rsid w:val="000D0A89"/>
    <w:rsid w:val="000D1D16"/>
    <w:rsid w:val="000D2436"/>
    <w:rsid w:val="000D2B15"/>
    <w:rsid w:val="000D2B37"/>
    <w:rsid w:val="000D463E"/>
    <w:rsid w:val="000D5510"/>
    <w:rsid w:val="000D70E0"/>
    <w:rsid w:val="000E04D1"/>
    <w:rsid w:val="000E0978"/>
    <w:rsid w:val="000E252D"/>
    <w:rsid w:val="000E4D79"/>
    <w:rsid w:val="000E4DD1"/>
    <w:rsid w:val="000E5921"/>
    <w:rsid w:val="000E5997"/>
    <w:rsid w:val="000E6A25"/>
    <w:rsid w:val="000F0144"/>
    <w:rsid w:val="000F0836"/>
    <w:rsid w:val="000F16F7"/>
    <w:rsid w:val="000F2468"/>
    <w:rsid w:val="000F34CA"/>
    <w:rsid w:val="000F37AF"/>
    <w:rsid w:val="000F7FD5"/>
    <w:rsid w:val="0010185B"/>
    <w:rsid w:val="001036BA"/>
    <w:rsid w:val="001037AD"/>
    <w:rsid w:val="001043AA"/>
    <w:rsid w:val="00111A10"/>
    <w:rsid w:val="00114735"/>
    <w:rsid w:val="001153E4"/>
    <w:rsid w:val="00115BC9"/>
    <w:rsid w:val="001161C0"/>
    <w:rsid w:val="0011694B"/>
    <w:rsid w:val="00116BA4"/>
    <w:rsid w:val="00117032"/>
    <w:rsid w:val="00117484"/>
    <w:rsid w:val="001301CA"/>
    <w:rsid w:val="00132DFA"/>
    <w:rsid w:val="00134034"/>
    <w:rsid w:val="00134D13"/>
    <w:rsid w:val="00136ECF"/>
    <w:rsid w:val="001435FF"/>
    <w:rsid w:val="00144447"/>
    <w:rsid w:val="00145DCA"/>
    <w:rsid w:val="001504F9"/>
    <w:rsid w:val="0015089E"/>
    <w:rsid w:val="0015243F"/>
    <w:rsid w:val="00152EDA"/>
    <w:rsid w:val="00153FF2"/>
    <w:rsid w:val="001540D0"/>
    <w:rsid w:val="001609DA"/>
    <w:rsid w:val="00160DFB"/>
    <w:rsid w:val="00161C61"/>
    <w:rsid w:val="00161D63"/>
    <w:rsid w:val="00162666"/>
    <w:rsid w:val="001632DC"/>
    <w:rsid w:val="00164A71"/>
    <w:rsid w:val="00165AD6"/>
    <w:rsid w:val="00165DDF"/>
    <w:rsid w:val="00167106"/>
    <w:rsid w:val="0017303C"/>
    <w:rsid w:val="001747EE"/>
    <w:rsid w:val="001762BB"/>
    <w:rsid w:val="00176600"/>
    <w:rsid w:val="0017745C"/>
    <w:rsid w:val="001778FB"/>
    <w:rsid w:val="00180776"/>
    <w:rsid w:val="00180C38"/>
    <w:rsid w:val="00181941"/>
    <w:rsid w:val="00182EB2"/>
    <w:rsid w:val="001836AB"/>
    <w:rsid w:val="00185161"/>
    <w:rsid w:val="001852DE"/>
    <w:rsid w:val="00185704"/>
    <w:rsid w:val="00185CE1"/>
    <w:rsid w:val="00187403"/>
    <w:rsid w:val="0019042F"/>
    <w:rsid w:val="001922DA"/>
    <w:rsid w:val="00193C28"/>
    <w:rsid w:val="001940C2"/>
    <w:rsid w:val="001946F6"/>
    <w:rsid w:val="001A165A"/>
    <w:rsid w:val="001A3A04"/>
    <w:rsid w:val="001A4880"/>
    <w:rsid w:val="001A4E68"/>
    <w:rsid w:val="001A50D9"/>
    <w:rsid w:val="001A6BEB"/>
    <w:rsid w:val="001A7393"/>
    <w:rsid w:val="001A788D"/>
    <w:rsid w:val="001B06F0"/>
    <w:rsid w:val="001B1D15"/>
    <w:rsid w:val="001B24C1"/>
    <w:rsid w:val="001B7E89"/>
    <w:rsid w:val="001C078E"/>
    <w:rsid w:val="001C2ACD"/>
    <w:rsid w:val="001C42C8"/>
    <w:rsid w:val="001D0D31"/>
    <w:rsid w:val="001D6558"/>
    <w:rsid w:val="001D6918"/>
    <w:rsid w:val="001E15AA"/>
    <w:rsid w:val="001E1C54"/>
    <w:rsid w:val="001E1DD8"/>
    <w:rsid w:val="001E2C63"/>
    <w:rsid w:val="001E3E57"/>
    <w:rsid w:val="001E5003"/>
    <w:rsid w:val="001F0EB7"/>
    <w:rsid w:val="001F141E"/>
    <w:rsid w:val="001F1972"/>
    <w:rsid w:val="001F197A"/>
    <w:rsid w:val="001F35FC"/>
    <w:rsid w:val="001F48DD"/>
    <w:rsid w:val="001F58CC"/>
    <w:rsid w:val="00203E1A"/>
    <w:rsid w:val="002050D4"/>
    <w:rsid w:val="00205B7E"/>
    <w:rsid w:val="002060B2"/>
    <w:rsid w:val="002067DD"/>
    <w:rsid w:val="00206ADD"/>
    <w:rsid w:val="00206ECA"/>
    <w:rsid w:val="00207AF5"/>
    <w:rsid w:val="00210778"/>
    <w:rsid w:val="00210FC4"/>
    <w:rsid w:val="00211480"/>
    <w:rsid w:val="00211F4F"/>
    <w:rsid w:val="0021507E"/>
    <w:rsid w:val="002211DE"/>
    <w:rsid w:val="002229C9"/>
    <w:rsid w:val="00223C8A"/>
    <w:rsid w:val="0022464D"/>
    <w:rsid w:val="002310C6"/>
    <w:rsid w:val="00235E48"/>
    <w:rsid w:val="00236F52"/>
    <w:rsid w:val="002371F1"/>
    <w:rsid w:val="00240B8A"/>
    <w:rsid w:val="0024134E"/>
    <w:rsid w:val="00241777"/>
    <w:rsid w:val="00243803"/>
    <w:rsid w:val="00245DB3"/>
    <w:rsid w:val="00246E9F"/>
    <w:rsid w:val="0024788D"/>
    <w:rsid w:val="00247E80"/>
    <w:rsid w:val="00251347"/>
    <w:rsid w:val="00252366"/>
    <w:rsid w:val="00253D19"/>
    <w:rsid w:val="00255507"/>
    <w:rsid w:val="00255C0E"/>
    <w:rsid w:val="002603FB"/>
    <w:rsid w:val="00261ED9"/>
    <w:rsid w:val="002621B1"/>
    <w:rsid w:val="00263F4F"/>
    <w:rsid w:val="00264D1B"/>
    <w:rsid w:val="00265BE9"/>
    <w:rsid w:val="002670C7"/>
    <w:rsid w:val="00267A78"/>
    <w:rsid w:val="002701D8"/>
    <w:rsid w:val="00270317"/>
    <w:rsid w:val="002711C9"/>
    <w:rsid w:val="00271E15"/>
    <w:rsid w:val="0027209F"/>
    <w:rsid w:val="0027212A"/>
    <w:rsid w:val="0027636D"/>
    <w:rsid w:val="00276BCF"/>
    <w:rsid w:val="00276E3E"/>
    <w:rsid w:val="00277547"/>
    <w:rsid w:val="002806C8"/>
    <w:rsid w:val="00282AAC"/>
    <w:rsid w:val="00282FB5"/>
    <w:rsid w:val="00283331"/>
    <w:rsid w:val="00283553"/>
    <w:rsid w:val="002876FE"/>
    <w:rsid w:val="002908EF"/>
    <w:rsid w:val="00297C48"/>
    <w:rsid w:val="002A0EC4"/>
    <w:rsid w:val="002A377E"/>
    <w:rsid w:val="002A42E9"/>
    <w:rsid w:val="002A576E"/>
    <w:rsid w:val="002B24FB"/>
    <w:rsid w:val="002B31B8"/>
    <w:rsid w:val="002B5AED"/>
    <w:rsid w:val="002B6AB8"/>
    <w:rsid w:val="002B7DDB"/>
    <w:rsid w:val="002C2657"/>
    <w:rsid w:val="002C277B"/>
    <w:rsid w:val="002C284F"/>
    <w:rsid w:val="002C330E"/>
    <w:rsid w:val="002C6286"/>
    <w:rsid w:val="002C6B2F"/>
    <w:rsid w:val="002D1FB0"/>
    <w:rsid w:val="002D2958"/>
    <w:rsid w:val="002D4AA5"/>
    <w:rsid w:val="002D589F"/>
    <w:rsid w:val="002D7AC9"/>
    <w:rsid w:val="002E0385"/>
    <w:rsid w:val="002E0964"/>
    <w:rsid w:val="002E14D1"/>
    <w:rsid w:val="002E25AA"/>
    <w:rsid w:val="002E4E17"/>
    <w:rsid w:val="002E5DA4"/>
    <w:rsid w:val="002E699A"/>
    <w:rsid w:val="002F1C67"/>
    <w:rsid w:val="002F5493"/>
    <w:rsid w:val="002F5788"/>
    <w:rsid w:val="00301C20"/>
    <w:rsid w:val="0030244E"/>
    <w:rsid w:val="00302D58"/>
    <w:rsid w:val="00305CC8"/>
    <w:rsid w:val="0031025F"/>
    <w:rsid w:val="00310439"/>
    <w:rsid w:val="003111D5"/>
    <w:rsid w:val="00313B17"/>
    <w:rsid w:val="00313C9F"/>
    <w:rsid w:val="00320C27"/>
    <w:rsid w:val="00322A20"/>
    <w:rsid w:val="0032301A"/>
    <w:rsid w:val="00324D52"/>
    <w:rsid w:val="00325355"/>
    <w:rsid w:val="00325576"/>
    <w:rsid w:val="00332A0B"/>
    <w:rsid w:val="00334CA6"/>
    <w:rsid w:val="00335CE7"/>
    <w:rsid w:val="00340734"/>
    <w:rsid w:val="0034276B"/>
    <w:rsid w:val="00343F3A"/>
    <w:rsid w:val="00344350"/>
    <w:rsid w:val="00344736"/>
    <w:rsid w:val="0034542D"/>
    <w:rsid w:val="003528A5"/>
    <w:rsid w:val="00353D2C"/>
    <w:rsid w:val="00354FDB"/>
    <w:rsid w:val="003573F1"/>
    <w:rsid w:val="00360037"/>
    <w:rsid w:val="0036122A"/>
    <w:rsid w:val="00362879"/>
    <w:rsid w:val="003658FE"/>
    <w:rsid w:val="00366A29"/>
    <w:rsid w:val="00366EB1"/>
    <w:rsid w:val="00367F4A"/>
    <w:rsid w:val="003700D6"/>
    <w:rsid w:val="003712E8"/>
    <w:rsid w:val="003729AF"/>
    <w:rsid w:val="003766EA"/>
    <w:rsid w:val="00377A35"/>
    <w:rsid w:val="00381274"/>
    <w:rsid w:val="00381656"/>
    <w:rsid w:val="003823FB"/>
    <w:rsid w:val="00382945"/>
    <w:rsid w:val="00383EAB"/>
    <w:rsid w:val="00390218"/>
    <w:rsid w:val="0039243B"/>
    <w:rsid w:val="00392476"/>
    <w:rsid w:val="00395C01"/>
    <w:rsid w:val="003A1242"/>
    <w:rsid w:val="003A4A88"/>
    <w:rsid w:val="003A4BCB"/>
    <w:rsid w:val="003A5497"/>
    <w:rsid w:val="003A67DE"/>
    <w:rsid w:val="003B2AB5"/>
    <w:rsid w:val="003B30BA"/>
    <w:rsid w:val="003B5126"/>
    <w:rsid w:val="003B5F32"/>
    <w:rsid w:val="003B619E"/>
    <w:rsid w:val="003C1A8F"/>
    <w:rsid w:val="003C23E7"/>
    <w:rsid w:val="003C69A7"/>
    <w:rsid w:val="003D2569"/>
    <w:rsid w:val="003D48AF"/>
    <w:rsid w:val="003D4D5B"/>
    <w:rsid w:val="003D5369"/>
    <w:rsid w:val="003D5AAB"/>
    <w:rsid w:val="003D5D04"/>
    <w:rsid w:val="003D60E7"/>
    <w:rsid w:val="003E0D85"/>
    <w:rsid w:val="003E2200"/>
    <w:rsid w:val="003E2F53"/>
    <w:rsid w:val="003E5FBF"/>
    <w:rsid w:val="003E659A"/>
    <w:rsid w:val="003E6BDB"/>
    <w:rsid w:val="003E6C1A"/>
    <w:rsid w:val="003F3BCF"/>
    <w:rsid w:val="003F74EB"/>
    <w:rsid w:val="00401A42"/>
    <w:rsid w:val="00401EC3"/>
    <w:rsid w:val="00402B08"/>
    <w:rsid w:val="00403603"/>
    <w:rsid w:val="0040460C"/>
    <w:rsid w:val="00404EBA"/>
    <w:rsid w:val="0040556D"/>
    <w:rsid w:val="00405973"/>
    <w:rsid w:val="00406E1D"/>
    <w:rsid w:val="004074E6"/>
    <w:rsid w:val="00407BFB"/>
    <w:rsid w:val="00407D87"/>
    <w:rsid w:val="0041121B"/>
    <w:rsid w:val="004121D0"/>
    <w:rsid w:val="00412747"/>
    <w:rsid w:val="0041419F"/>
    <w:rsid w:val="0041639C"/>
    <w:rsid w:val="004168E9"/>
    <w:rsid w:val="004172C9"/>
    <w:rsid w:val="00421F5B"/>
    <w:rsid w:val="00421FC5"/>
    <w:rsid w:val="0042232A"/>
    <w:rsid w:val="004233E8"/>
    <w:rsid w:val="00423A57"/>
    <w:rsid w:val="0042429F"/>
    <w:rsid w:val="00425CA5"/>
    <w:rsid w:val="00426412"/>
    <w:rsid w:val="00427B11"/>
    <w:rsid w:val="00427DB8"/>
    <w:rsid w:val="00430561"/>
    <w:rsid w:val="0043066D"/>
    <w:rsid w:val="00433311"/>
    <w:rsid w:val="004376F0"/>
    <w:rsid w:val="0044111B"/>
    <w:rsid w:val="00442BC6"/>
    <w:rsid w:val="00446125"/>
    <w:rsid w:val="0044674A"/>
    <w:rsid w:val="00446DA6"/>
    <w:rsid w:val="00447452"/>
    <w:rsid w:val="004507B9"/>
    <w:rsid w:val="00451675"/>
    <w:rsid w:val="004547A8"/>
    <w:rsid w:val="00456334"/>
    <w:rsid w:val="00457E55"/>
    <w:rsid w:val="00460890"/>
    <w:rsid w:val="0046435F"/>
    <w:rsid w:val="00466A55"/>
    <w:rsid w:val="00466C14"/>
    <w:rsid w:val="00466FAC"/>
    <w:rsid w:val="004720D9"/>
    <w:rsid w:val="00472E2F"/>
    <w:rsid w:val="004735F2"/>
    <w:rsid w:val="00480B1A"/>
    <w:rsid w:val="00480F77"/>
    <w:rsid w:val="004821E0"/>
    <w:rsid w:val="004822ED"/>
    <w:rsid w:val="00482BE6"/>
    <w:rsid w:val="00483C52"/>
    <w:rsid w:val="00483E9C"/>
    <w:rsid w:val="00484C0A"/>
    <w:rsid w:val="004861BB"/>
    <w:rsid w:val="0048659F"/>
    <w:rsid w:val="004910E4"/>
    <w:rsid w:val="00492083"/>
    <w:rsid w:val="00494999"/>
    <w:rsid w:val="00495116"/>
    <w:rsid w:val="0049753F"/>
    <w:rsid w:val="004A09D5"/>
    <w:rsid w:val="004A13DC"/>
    <w:rsid w:val="004A47E0"/>
    <w:rsid w:val="004B2786"/>
    <w:rsid w:val="004B2C71"/>
    <w:rsid w:val="004B4322"/>
    <w:rsid w:val="004B4E73"/>
    <w:rsid w:val="004B5838"/>
    <w:rsid w:val="004B61B5"/>
    <w:rsid w:val="004B725B"/>
    <w:rsid w:val="004B7580"/>
    <w:rsid w:val="004C1966"/>
    <w:rsid w:val="004C3E75"/>
    <w:rsid w:val="004C4DBA"/>
    <w:rsid w:val="004D27CC"/>
    <w:rsid w:val="004D4D6A"/>
    <w:rsid w:val="004D63EA"/>
    <w:rsid w:val="004D7C9D"/>
    <w:rsid w:val="004E1575"/>
    <w:rsid w:val="004E3487"/>
    <w:rsid w:val="004E378A"/>
    <w:rsid w:val="004E3860"/>
    <w:rsid w:val="004E429D"/>
    <w:rsid w:val="004E4CEE"/>
    <w:rsid w:val="004F1490"/>
    <w:rsid w:val="004F1555"/>
    <w:rsid w:val="004F1D2F"/>
    <w:rsid w:val="004F3284"/>
    <w:rsid w:val="004F337D"/>
    <w:rsid w:val="004F4592"/>
    <w:rsid w:val="004F557F"/>
    <w:rsid w:val="00502234"/>
    <w:rsid w:val="0050260C"/>
    <w:rsid w:val="00511842"/>
    <w:rsid w:val="00511A88"/>
    <w:rsid w:val="00513601"/>
    <w:rsid w:val="0052009E"/>
    <w:rsid w:val="005210F8"/>
    <w:rsid w:val="005215E7"/>
    <w:rsid w:val="00524C9B"/>
    <w:rsid w:val="00526B8F"/>
    <w:rsid w:val="0053063E"/>
    <w:rsid w:val="0053276F"/>
    <w:rsid w:val="005338C6"/>
    <w:rsid w:val="0053395B"/>
    <w:rsid w:val="00537DA1"/>
    <w:rsid w:val="00540817"/>
    <w:rsid w:val="00541C17"/>
    <w:rsid w:val="00542370"/>
    <w:rsid w:val="00544B9D"/>
    <w:rsid w:val="005451C2"/>
    <w:rsid w:val="00546785"/>
    <w:rsid w:val="00550C5F"/>
    <w:rsid w:val="005525FE"/>
    <w:rsid w:val="00552C1D"/>
    <w:rsid w:val="005539A2"/>
    <w:rsid w:val="00553B51"/>
    <w:rsid w:val="00555CD6"/>
    <w:rsid w:val="005575CE"/>
    <w:rsid w:val="005601FD"/>
    <w:rsid w:val="0056030E"/>
    <w:rsid w:val="00560851"/>
    <w:rsid w:val="005630D0"/>
    <w:rsid w:val="005642D4"/>
    <w:rsid w:val="00565771"/>
    <w:rsid w:val="00566121"/>
    <w:rsid w:val="005668E8"/>
    <w:rsid w:val="00566B6D"/>
    <w:rsid w:val="00566C60"/>
    <w:rsid w:val="00567037"/>
    <w:rsid w:val="00567765"/>
    <w:rsid w:val="00570E56"/>
    <w:rsid w:val="0057159C"/>
    <w:rsid w:val="00571A29"/>
    <w:rsid w:val="0057659C"/>
    <w:rsid w:val="00576F14"/>
    <w:rsid w:val="00577BF9"/>
    <w:rsid w:val="00577D1C"/>
    <w:rsid w:val="00577DAB"/>
    <w:rsid w:val="00580A9B"/>
    <w:rsid w:val="005829D2"/>
    <w:rsid w:val="00583570"/>
    <w:rsid w:val="005864C2"/>
    <w:rsid w:val="0058657E"/>
    <w:rsid w:val="00587818"/>
    <w:rsid w:val="0059281D"/>
    <w:rsid w:val="00593939"/>
    <w:rsid w:val="00594629"/>
    <w:rsid w:val="005951A5"/>
    <w:rsid w:val="005A0F4D"/>
    <w:rsid w:val="005A11E5"/>
    <w:rsid w:val="005A238E"/>
    <w:rsid w:val="005A4B88"/>
    <w:rsid w:val="005B183D"/>
    <w:rsid w:val="005B2D4B"/>
    <w:rsid w:val="005B4C57"/>
    <w:rsid w:val="005B533F"/>
    <w:rsid w:val="005C0E40"/>
    <w:rsid w:val="005C23D5"/>
    <w:rsid w:val="005C5F72"/>
    <w:rsid w:val="005C6494"/>
    <w:rsid w:val="005D0D03"/>
    <w:rsid w:val="005D4559"/>
    <w:rsid w:val="005D46F5"/>
    <w:rsid w:val="005D4AAA"/>
    <w:rsid w:val="005E2F1E"/>
    <w:rsid w:val="005E331E"/>
    <w:rsid w:val="005E4885"/>
    <w:rsid w:val="005E53C3"/>
    <w:rsid w:val="005E69D4"/>
    <w:rsid w:val="005F063D"/>
    <w:rsid w:val="005F34E8"/>
    <w:rsid w:val="005F54DB"/>
    <w:rsid w:val="005F7B92"/>
    <w:rsid w:val="005F7EFB"/>
    <w:rsid w:val="006006EF"/>
    <w:rsid w:val="0060124C"/>
    <w:rsid w:val="00601DDB"/>
    <w:rsid w:val="00603DF0"/>
    <w:rsid w:val="00605230"/>
    <w:rsid w:val="00605C45"/>
    <w:rsid w:val="00606F4A"/>
    <w:rsid w:val="006100C9"/>
    <w:rsid w:val="00610FDE"/>
    <w:rsid w:val="00611238"/>
    <w:rsid w:val="006114D3"/>
    <w:rsid w:val="006118B8"/>
    <w:rsid w:val="006126F6"/>
    <w:rsid w:val="006130F2"/>
    <w:rsid w:val="006135EB"/>
    <w:rsid w:val="00614729"/>
    <w:rsid w:val="00622307"/>
    <w:rsid w:val="00624A51"/>
    <w:rsid w:val="00627A5B"/>
    <w:rsid w:val="00630859"/>
    <w:rsid w:val="00633874"/>
    <w:rsid w:val="00635418"/>
    <w:rsid w:val="00635E39"/>
    <w:rsid w:val="00636309"/>
    <w:rsid w:val="0064158D"/>
    <w:rsid w:val="0064754A"/>
    <w:rsid w:val="00650BBA"/>
    <w:rsid w:val="006513F3"/>
    <w:rsid w:val="00652939"/>
    <w:rsid w:val="00653C34"/>
    <w:rsid w:val="006540D1"/>
    <w:rsid w:val="00655480"/>
    <w:rsid w:val="00655737"/>
    <w:rsid w:val="006565E6"/>
    <w:rsid w:val="00660597"/>
    <w:rsid w:val="00660D13"/>
    <w:rsid w:val="0066351C"/>
    <w:rsid w:val="00664526"/>
    <w:rsid w:val="00664ED0"/>
    <w:rsid w:val="00672AF3"/>
    <w:rsid w:val="00672E52"/>
    <w:rsid w:val="00674C34"/>
    <w:rsid w:val="0067543F"/>
    <w:rsid w:val="00675886"/>
    <w:rsid w:val="00675C1F"/>
    <w:rsid w:val="0067760D"/>
    <w:rsid w:val="0068029D"/>
    <w:rsid w:val="00683E7E"/>
    <w:rsid w:val="00683EFA"/>
    <w:rsid w:val="0068451D"/>
    <w:rsid w:val="00686969"/>
    <w:rsid w:val="00686BCA"/>
    <w:rsid w:val="00691F2B"/>
    <w:rsid w:val="0069439E"/>
    <w:rsid w:val="00694A02"/>
    <w:rsid w:val="00695C84"/>
    <w:rsid w:val="00696A0B"/>
    <w:rsid w:val="00697948"/>
    <w:rsid w:val="006979D8"/>
    <w:rsid w:val="006A352E"/>
    <w:rsid w:val="006A39FB"/>
    <w:rsid w:val="006A493C"/>
    <w:rsid w:val="006A6260"/>
    <w:rsid w:val="006B04FE"/>
    <w:rsid w:val="006B36A5"/>
    <w:rsid w:val="006B4AC7"/>
    <w:rsid w:val="006B6BD5"/>
    <w:rsid w:val="006B7A1A"/>
    <w:rsid w:val="006C1A8C"/>
    <w:rsid w:val="006D0780"/>
    <w:rsid w:val="006D0E87"/>
    <w:rsid w:val="006D1F06"/>
    <w:rsid w:val="006D3205"/>
    <w:rsid w:val="006D3ADE"/>
    <w:rsid w:val="006D5ED7"/>
    <w:rsid w:val="006D6285"/>
    <w:rsid w:val="006E0831"/>
    <w:rsid w:val="006E2966"/>
    <w:rsid w:val="006E4276"/>
    <w:rsid w:val="006E4AB2"/>
    <w:rsid w:val="006E6905"/>
    <w:rsid w:val="006E7ED1"/>
    <w:rsid w:val="006F006B"/>
    <w:rsid w:val="006F0FD9"/>
    <w:rsid w:val="006F4C97"/>
    <w:rsid w:val="006F6147"/>
    <w:rsid w:val="006F6F35"/>
    <w:rsid w:val="007001A6"/>
    <w:rsid w:val="0070235C"/>
    <w:rsid w:val="00704627"/>
    <w:rsid w:val="00704CEE"/>
    <w:rsid w:val="00711701"/>
    <w:rsid w:val="00714956"/>
    <w:rsid w:val="007168B3"/>
    <w:rsid w:val="00717B85"/>
    <w:rsid w:val="00717D20"/>
    <w:rsid w:val="00721A24"/>
    <w:rsid w:val="007232A7"/>
    <w:rsid w:val="00724A8A"/>
    <w:rsid w:val="00725873"/>
    <w:rsid w:val="00731143"/>
    <w:rsid w:val="0073138F"/>
    <w:rsid w:val="00732467"/>
    <w:rsid w:val="0073284C"/>
    <w:rsid w:val="00732A35"/>
    <w:rsid w:val="00733FD2"/>
    <w:rsid w:val="0073667A"/>
    <w:rsid w:val="00736EC1"/>
    <w:rsid w:val="007409B7"/>
    <w:rsid w:val="007416C0"/>
    <w:rsid w:val="007417AE"/>
    <w:rsid w:val="007432BC"/>
    <w:rsid w:val="00744FD2"/>
    <w:rsid w:val="00747A09"/>
    <w:rsid w:val="00751BCB"/>
    <w:rsid w:val="007532CC"/>
    <w:rsid w:val="00753BAA"/>
    <w:rsid w:val="00754469"/>
    <w:rsid w:val="00754C7E"/>
    <w:rsid w:val="007558CC"/>
    <w:rsid w:val="00755AFF"/>
    <w:rsid w:val="00756A99"/>
    <w:rsid w:val="007579CA"/>
    <w:rsid w:val="00761F8B"/>
    <w:rsid w:val="00763CD7"/>
    <w:rsid w:val="0076599E"/>
    <w:rsid w:val="00766303"/>
    <w:rsid w:val="00766CC7"/>
    <w:rsid w:val="00770013"/>
    <w:rsid w:val="0077005B"/>
    <w:rsid w:val="00770EAE"/>
    <w:rsid w:val="00776ED4"/>
    <w:rsid w:val="00780938"/>
    <w:rsid w:val="00781E55"/>
    <w:rsid w:val="00781FAE"/>
    <w:rsid w:val="007825C2"/>
    <w:rsid w:val="00782E15"/>
    <w:rsid w:val="00784046"/>
    <w:rsid w:val="007845B8"/>
    <w:rsid w:val="00784B21"/>
    <w:rsid w:val="0078572A"/>
    <w:rsid w:val="0079415F"/>
    <w:rsid w:val="00794DAC"/>
    <w:rsid w:val="0079604B"/>
    <w:rsid w:val="007A01E1"/>
    <w:rsid w:val="007A07B8"/>
    <w:rsid w:val="007A2CD8"/>
    <w:rsid w:val="007A5588"/>
    <w:rsid w:val="007A6C80"/>
    <w:rsid w:val="007A7D8A"/>
    <w:rsid w:val="007B00F6"/>
    <w:rsid w:val="007B0173"/>
    <w:rsid w:val="007B16B7"/>
    <w:rsid w:val="007B1B53"/>
    <w:rsid w:val="007B2553"/>
    <w:rsid w:val="007B3557"/>
    <w:rsid w:val="007B4C7F"/>
    <w:rsid w:val="007B5262"/>
    <w:rsid w:val="007B562E"/>
    <w:rsid w:val="007B6ADE"/>
    <w:rsid w:val="007B7842"/>
    <w:rsid w:val="007C113F"/>
    <w:rsid w:val="007C3A78"/>
    <w:rsid w:val="007C67AB"/>
    <w:rsid w:val="007C68A9"/>
    <w:rsid w:val="007D2515"/>
    <w:rsid w:val="007D494D"/>
    <w:rsid w:val="007D54A3"/>
    <w:rsid w:val="007D6080"/>
    <w:rsid w:val="007D7921"/>
    <w:rsid w:val="007E0F5A"/>
    <w:rsid w:val="007E12EC"/>
    <w:rsid w:val="007E4C66"/>
    <w:rsid w:val="007F0F22"/>
    <w:rsid w:val="007F43F0"/>
    <w:rsid w:val="007F4641"/>
    <w:rsid w:val="007F47FE"/>
    <w:rsid w:val="007F6E27"/>
    <w:rsid w:val="007F7609"/>
    <w:rsid w:val="007F78A1"/>
    <w:rsid w:val="0080004A"/>
    <w:rsid w:val="00800F0C"/>
    <w:rsid w:val="00800FA2"/>
    <w:rsid w:val="008015A1"/>
    <w:rsid w:val="0080170B"/>
    <w:rsid w:val="00802B3E"/>
    <w:rsid w:val="00802C16"/>
    <w:rsid w:val="00803AB8"/>
    <w:rsid w:val="00803F8A"/>
    <w:rsid w:val="00807653"/>
    <w:rsid w:val="00807A40"/>
    <w:rsid w:val="00811568"/>
    <w:rsid w:val="008135C8"/>
    <w:rsid w:val="008137D7"/>
    <w:rsid w:val="0081676A"/>
    <w:rsid w:val="00817D6D"/>
    <w:rsid w:val="0082006A"/>
    <w:rsid w:val="00821E71"/>
    <w:rsid w:val="00823E02"/>
    <w:rsid w:val="00826773"/>
    <w:rsid w:val="00826A10"/>
    <w:rsid w:val="00833126"/>
    <w:rsid w:val="0083505E"/>
    <w:rsid w:val="0083563E"/>
    <w:rsid w:val="0083609F"/>
    <w:rsid w:val="008361D1"/>
    <w:rsid w:val="00836844"/>
    <w:rsid w:val="0084203C"/>
    <w:rsid w:val="00842975"/>
    <w:rsid w:val="008429EE"/>
    <w:rsid w:val="00845C23"/>
    <w:rsid w:val="00847C91"/>
    <w:rsid w:val="0085018E"/>
    <w:rsid w:val="00850867"/>
    <w:rsid w:val="008510FC"/>
    <w:rsid w:val="00851EF5"/>
    <w:rsid w:val="00852CB7"/>
    <w:rsid w:val="0085315E"/>
    <w:rsid w:val="00856EB2"/>
    <w:rsid w:val="008579CC"/>
    <w:rsid w:val="00863153"/>
    <w:rsid w:val="00864240"/>
    <w:rsid w:val="00865432"/>
    <w:rsid w:val="00866114"/>
    <w:rsid w:val="00870447"/>
    <w:rsid w:val="008709C8"/>
    <w:rsid w:val="00873BEA"/>
    <w:rsid w:val="008740A7"/>
    <w:rsid w:val="00881A51"/>
    <w:rsid w:val="00885765"/>
    <w:rsid w:val="00886E26"/>
    <w:rsid w:val="00890516"/>
    <w:rsid w:val="008919DF"/>
    <w:rsid w:val="008931B2"/>
    <w:rsid w:val="008937BF"/>
    <w:rsid w:val="0089645A"/>
    <w:rsid w:val="00896AB6"/>
    <w:rsid w:val="00897985"/>
    <w:rsid w:val="008A08DD"/>
    <w:rsid w:val="008A255F"/>
    <w:rsid w:val="008A6521"/>
    <w:rsid w:val="008A6E2A"/>
    <w:rsid w:val="008A78BD"/>
    <w:rsid w:val="008B1E5D"/>
    <w:rsid w:val="008B2357"/>
    <w:rsid w:val="008B3F5E"/>
    <w:rsid w:val="008B52ED"/>
    <w:rsid w:val="008B5685"/>
    <w:rsid w:val="008B7C01"/>
    <w:rsid w:val="008C3E43"/>
    <w:rsid w:val="008C442B"/>
    <w:rsid w:val="008C4EF7"/>
    <w:rsid w:val="008C7103"/>
    <w:rsid w:val="008C7E17"/>
    <w:rsid w:val="008C7F16"/>
    <w:rsid w:val="008D545F"/>
    <w:rsid w:val="008D7560"/>
    <w:rsid w:val="008E05BE"/>
    <w:rsid w:val="008E59A7"/>
    <w:rsid w:val="008E78F9"/>
    <w:rsid w:val="008F0A50"/>
    <w:rsid w:val="008F3C60"/>
    <w:rsid w:val="008F44C1"/>
    <w:rsid w:val="008F48ED"/>
    <w:rsid w:val="008F5CC7"/>
    <w:rsid w:val="008F5F98"/>
    <w:rsid w:val="008F6E35"/>
    <w:rsid w:val="008F77AA"/>
    <w:rsid w:val="00901F87"/>
    <w:rsid w:val="0090571A"/>
    <w:rsid w:val="00907E23"/>
    <w:rsid w:val="0091054D"/>
    <w:rsid w:val="009143DC"/>
    <w:rsid w:val="009161B5"/>
    <w:rsid w:val="00923025"/>
    <w:rsid w:val="0093160C"/>
    <w:rsid w:val="0093166B"/>
    <w:rsid w:val="00932757"/>
    <w:rsid w:val="00932C87"/>
    <w:rsid w:val="0093326C"/>
    <w:rsid w:val="009356D7"/>
    <w:rsid w:val="009357C9"/>
    <w:rsid w:val="009368B8"/>
    <w:rsid w:val="009372F8"/>
    <w:rsid w:val="009379A1"/>
    <w:rsid w:val="00944617"/>
    <w:rsid w:val="00944E3F"/>
    <w:rsid w:val="00946534"/>
    <w:rsid w:val="00951170"/>
    <w:rsid w:val="009516C2"/>
    <w:rsid w:val="009524C9"/>
    <w:rsid w:val="00955519"/>
    <w:rsid w:val="00955C06"/>
    <w:rsid w:val="009626BA"/>
    <w:rsid w:val="00962DE1"/>
    <w:rsid w:val="009641FD"/>
    <w:rsid w:val="009644FE"/>
    <w:rsid w:val="00970D16"/>
    <w:rsid w:val="00974160"/>
    <w:rsid w:val="00974555"/>
    <w:rsid w:val="00975A6D"/>
    <w:rsid w:val="009766BA"/>
    <w:rsid w:val="00977A80"/>
    <w:rsid w:val="0098016B"/>
    <w:rsid w:val="009806CF"/>
    <w:rsid w:val="00982272"/>
    <w:rsid w:val="009827AC"/>
    <w:rsid w:val="00982FD9"/>
    <w:rsid w:val="00983A6F"/>
    <w:rsid w:val="00984C17"/>
    <w:rsid w:val="00984F68"/>
    <w:rsid w:val="009864A3"/>
    <w:rsid w:val="0098650A"/>
    <w:rsid w:val="009876BF"/>
    <w:rsid w:val="00991FAB"/>
    <w:rsid w:val="009928EB"/>
    <w:rsid w:val="009938EB"/>
    <w:rsid w:val="00994393"/>
    <w:rsid w:val="009969DF"/>
    <w:rsid w:val="00996C34"/>
    <w:rsid w:val="009971EB"/>
    <w:rsid w:val="009A1925"/>
    <w:rsid w:val="009A2806"/>
    <w:rsid w:val="009A4DC9"/>
    <w:rsid w:val="009B1700"/>
    <w:rsid w:val="009B27CC"/>
    <w:rsid w:val="009B3CDD"/>
    <w:rsid w:val="009B6515"/>
    <w:rsid w:val="009C03A3"/>
    <w:rsid w:val="009C03E1"/>
    <w:rsid w:val="009C3C19"/>
    <w:rsid w:val="009C4372"/>
    <w:rsid w:val="009C46A3"/>
    <w:rsid w:val="009C53FB"/>
    <w:rsid w:val="009C7934"/>
    <w:rsid w:val="009D325F"/>
    <w:rsid w:val="009D408C"/>
    <w:rsid w:val="009D732E"/>
    <w:rsid w:val="009D77DF"/>
    <w:rsid w:val="009D7B5F"/>
    <w:rsid w:val="009D7E9A"/>
    <w:rsid w:val="009D7EC0"/>
    <w:rsid w:val="009E08BE"/>
    <w:rsid w:val="009E19A7"/>
    <w:rsid w:val="009E2656"/>
    <w:rsid w:val="009E28CE"/>
    <w:rsid w:val="009E36CF"/>
    <w:rsid w:val="009E3A78"/>
    <w:rsid w:val="009E4DDE"/>
    <w:rsid w:val="009E5B71"/>
    <w:rsid w:val="009E73EE"/>
    <w:rsid w:val="009E79EF"/>
    <w:rsid w:val="009F2391"/>
    <w:rsid w:val="00A008F7"/>
    <w:rsid w:val="00A0151A"/>
    <w:rsid w:val="00A170B8"/>
    <w:rsid w:val="00A17ED1"/>
    <w:rsid w:val="00A23883"/>
    <w:rsid w:val="00A23CDE"/>
    <w:rsid w:val="00A24306"/>
    <w:rsid w:val="00A267D7"/>
    <w:rsid w:val="00A27442"/>
    <w:rsid w:val="00A30558"/>
    <w:rsid w:val="00A334B2"/>
    <w:rsid w:val="00A33E1B"/>
    <w:rsid w:val="00A3499C"/>
    <w:rsid w:val="00A37264"/>
    <w:rsid w:val="00A37BFE"/>
    <w:rsid w:val="00A37FA4"/>
    <w:rsid w:val="00A416A0"/>
    <w:rsid w:val="00A41986"/>
    <w:rsid w:val="00A42706"/>
    <w:rsid w:val="00A44C88"/>
    <w:rsid w:val="00A44D8A"/>
    <w:rsid w:val="00A456A7"/>
    <w:rsid w:val="00A517BC"/>
    <w:rsid w:val="00A52AFB"/>
    <w:rsid w:val="00A52EE9"/>
    <w:rsid w:val="00A536F3"/>
    <w:rsid w:val="00A54032"/>
    <w:rsid w:val="00A55493"/>
    <w:rsid w:val="00A55749"/>
    <w:rsid w:val="00A56DC7"/>
    <w:rsid w:val="00A57864"/>
    <w:rsid w:val="00A57B1C"/>
    <w:rsid w:val="00A600AC"/>
    <w:rsid w:val="00A624EE"/>
    <w:rsid w:val="00A6484D"/>
    <w:rsid w:val="00A7158D"/>
    <w:rsid w:val="00A716DC"/>
    <w:rsid w:val="00A749B7"/>
    <w:rsid w:val="00A750F8"/>
    <w:rsid w:val="00A763B5"/>
    <w:rsid w:val="00A76B50"/>
    <w:rsid w:val="00A80163"/>
    <w:rsid w:val="00A81552"/>
    <w:rsid w:val="00A83241"/>
    <w:rsid w:val="00A83C87"/>
    <w:rsid w:val="00A84F3D"/>
    <w:rsid w:val="00A869C8"/>
    <w:rsid w:val="00A87862"/>
    <w:rsid w:val="00A906AF"/>
    <w:rsid w:val="00A92908"/>
    <w:rsid w:val="00A930EE"/>
    <w:rsid w:val="00A959AC"/>
    <w:rsid w:val="00A96407"/>
    <w:rsid w:val="00AA1CF1"/>
    <w:rsid w:val="00AA4A52"/>
    <w:rsid w:val="00AA5E74"/>
    <w:rsid w:val="00AB41A0"/>
    <w:rsid w:val="00AB53C0"/>
    <w:rsid w:val="00AC036D"/>
    <w:rsid w:val="00AC1728"/>
    <w:rsid w:val="00AC38B0"/>
    <w:rsid w:val="00AC711D"/>
    <w:rsid w:val="00AD0AE7"/>
    <w:rsid w:val="00AD0C81"/>
    <w:rsid w:val="00AD1246"/>
    <w:rsid w:val="00AD1416"/>
    <w:rsid w:val="00AD164A"/>
    <w:rsid w:val="00AD1F73"/>
    <w:rsid w:val="00AD226E"/>
    <w:rsid w:val="00AD4C82"/>
    <w:rsid w:val="00AD4EA0"/>
    <w:rsid w:val="00AD5A0D"/>
    <w:rsid w:val="00AD5A21"/>
    <w:rsid w:val="00AE2717"/>
    <w:rsid w:val="00AE2E61"/>
    <w:rsid w:val="00AE3BF9"/>
    <w:rsid w:val="00AE4D43"/>
    <w:rsid w:val="00AE5016"/>
    <w:rsid w:val="00AE5F8F"/>
    <w:rsid w:val="00AE61A5"/>
    <w:rsid w:val="00AE717C"/>
    <w:rsid w:val="00AF09A0"/>
    <w:rsid w:val="00AF256A"/>
    <w:rsid w:val="00AF3872"/>
    <w:rsid w:val="00AF5C54"/>
    <w:rsid w:val="00AF73C3"/>
    <w:rsid w:val="00B007D6"/>
    <w:rsid w:val="00B00FE4"/>
    <w:rsid w:val="00B0392C"/>
    <w:rsid w:val="00B03C5B"/>
    <w:rsid w:val="00B03DCF"/>
    <w:rsid w:val="00B04009"/>
    <w:rsid w:val="00B058AE"/>
    <w:rsid w:val="00B068AE"/>
    <w:rsid w:val="00B06D10"/>
    <w:rsid w:val="00B074D4"/>
    <w:rsid w:val="00B10800"/>
    <w:rsid w:val="00B10F9E"/>
    <w:rsid w:val="00B13185"/>
    <w:rsid w:val="00B149B0"/>
    <w:rsid w:val="00B16B53"/>
    <w:rsid w:val="00B170F1"/>
    <w:rsid w:val="00B17E9B"/>
    <w:rsid w:val="00B234F2"/>
    <w:rsid w:val="00B2367C"/>
    <w:rsid w:val="00B23E89"/>
    <w:rsid w:val="00B25BF0"/>
    <w:rsid w:val="00B30D56"/>
    <w:rsid w:val="00B319DC"/>
    <w:rsid w:val="00B31E4B"/>
    <w:rsid w:val="00B320C9"/>
    <w:rsid w:val="00B336F6"/>
    <w:rsid w:val="00B3455B"/>
    <w:rsid w:val="00B35577"/>
    <w:rsid w:val="00B3778E"/>
    <w:rsid w:val="00B379BA"/>
    <w:rsid w:val="00B41DFD"/>
    <w:rsid w:val="00B424AC"/>
    <w:rsid w:val="00B4312E"/>
    <w:rsid w:val="00B43511"/>
    <w:rsid w:val="00B43F80"/>
    <w:rsid w:val="00B46586"/>
    <w:rsid w:val="00B46B99"/>
    <w:rsid w:val="00B52613"/>
    <w:rsid w:val="00B52925"/>
    <w:rsid w:val="00B5305F"/>
    <w:rsid w:val="00B5378D"/>
    <w:rsid w:val="00B54B54"/>
    <w:rsid w:val="00B60761"/>
    <w:rsid w:val="00B60A68"/>
    <w:rsid w:val="00B65D0A"/>
    <w:rsid w:val="00B660B1"/>
    <w:rsid w:val="00B7151D"/>
    <w:rsid w:val="00B7326D"/>
    <w:rsid w:val="00B732D3"/>
    <w:rsid w:val="00B7419B"/>
    <w:rsid w:val="00B7502C"/>
    <w:rsid w:val="00B75A09"/>
    <w:rsid w:val="00B76878"/>
    <w:rsid w:val="00B76A35"/>
    <w:rsid w:val="00B84466"/>
    <w:rsid w:val="00B85833"/>
    <w:rsid w:val="00B907B9"/>
    <w:rsid w:val="00B913CA"/>
    <w:rsid w:val="00B916FC"/>
    <w:rsid w:val="00B92AD8"/>
    <w:rsid w:val="00B92E13"/>
    <w:rsid w:val="00B93205"/>
    <w:rsid w:val="00B95A34"/>
    <w:rsid w:val="00B9696F"/>
    <w:rsid w:val="00BA1274"/>
    <w:rsid w:val="00BA1B01"/>
    <w:rsid w:val="00BA1C60"/>
    <w:rsid w:val="00BA49A1"/>
    <w:rsid w:val="00BB1394"/>
    <w:rsid w:val="00BB609A"/>
    <w:rsid w:val="00BB7EEB"/>
    <w:rsid w:val="00BC1FAD"/>
    <w:rsid w:val="00BC3AA3"/>
    <w:rsid w:val="00BD1A89"/>
    <w:rsid w:val="00BD432A"/>
    <w:rsid w:val="00BD585E"/>
    <w:rsid w:val="00BD6597"/>
    <w:rsid w:val="00BE456B"/>
    <w:rsid w:val="00BE6836"/>
    <w:rsid w:val="00BE7A1F"/>
    <w:rsid w:val="00BF3565"/>
    <w:rsid w:val="00BF37FC"/>
    <w:rsid w:val="00BF5378"/>
    <w:rsid w:val="00BF66E6"/>
    <w:rsid w:val="00BF7A55"/>
    <w:rsid w:val="00BF7D21"/>
    <w:rsid w:val="00C0164B"/>
    <w:rsid w:val="00C02860"/>
    <w:rsid w:val="00C05A36"/>
    <w:rsid w:val="00C06335"/>
    <w:rsid w:val="00C118C2"/>
    <w:rsid w:val="00C11CD9"/>
    <w:rsid w:val="00C12C14"/>
    <w:rsid w:val="00C1322B"/>
    <w:rsid w:val="00C21170"/>
    <w:rsid w:val="00C21FA0"/>
    <w:rsid w:val="00C237C9"/>
    <w:rsid w:val="00C26602"/>
    <w:rsid w:val="00C30518"/>
    <w:rsid w:val="00C308A4"/>
    <w:rsid w:val="00C30D95"/>
    <w:rsid w:val="00C327FE"/>
    <w:rsid w:val="00C32D72"/>
    <w:rsid w:val="00C32E8E"/>
    <w:rsid w:val="00C33437"/>
    <w:rsid w:val="00C4005D"/>
    <w:rsid w:val="00C4059A"/>
    <w:rsid w:val="00C41A08"/>
    <w:rsid w:val="00C41BC1"/>
    <w:rsid w:val="00C4304E"/>
    <w:rsid w:val="00C43628"/>
    <w:rsid w:val="00C4584F"/>
    <w:rsid w:val="00C4670E"/>
    <w:rsid w:val="00C51389"/>
    <w:rsid w:val="00C5363D"/>
    <w:rsid w:val="00C53BA8"/>
    <w:rsid w:val="00C542AE"/>
    <w:rsid w:val="00C55C79"/>
    <w:rsid w:val="00C615B9"/>
    <w:rsid w:val="00C6329B"/>
    <w:rsid w:val="00C64237"/>
    <w:rsid w:val="00C657C2"/>
    <w:rsid w:val="00C67BC5"/>
    <w:rsid w:val="00C71C7A"/>
    <w:rsid w:val="00C73349"/>
    <w:rsid w:val="00C75C5A"/>
    <w:rsid w:val="00C8011E"/>
    <w:rsid w:val="00C805ED"/>
    <w:rsid w:val="00C81300"/>
    <w:rsid w:val="00C822A7"/>
    <w:rsid w:val="00C839B9"/>
    <w:rsid w:val="00C8490A"/>
    <w:rsid w:val="00C84FA2"/>
    <w:rsid w:val="00C8681F"/>
    <w:rsid w:val="00C904B5"/>
    <w:rsid w:val="00C90A35"/>
    <w:rsid w:val="00C90CC6"/>
    <w:rsid w:val="00C9112E"/>
    <w:rsid w:val="00C918D4"/>
    <w:rsid w:val="00C9222E"/>
    <w:rsid w:val="00C93762"/>
    <w:rsid w:val="00C96DA2"/>
    <w:rsid w:val="00CA0EF5"/>
    <w:rsid w:val="00CA26EA"/>
    <w:rsid w:val="00CA2B61"/>
    <w:rsid w:val="00CA4AC1"/>
    <w:rsid w:val="00CA4DC1"/>
    <w:rsid w:val="00CB0767"/>
    <w:rsid w:val="00CB32DD"/>
    <w:rsid w:val="00CB715E"/>
    <w:rsid w:val="00CB7FC6"/>
    <w:rsid w:val="00CC06DE"/>
    <w:rsid w:val="00CC1481"/>
    <w:rsid w:val="00CC1A53"/>
    <w:rsid w:val="00CD0540"/>
    <w:rsid w:val="00CD175C"/>
    <w:rsid w:val="00CD233B"/>
    <w:rsid w:val="00CE0021"/>
    <w:rsid w:val="00CE1B4F"/>
    <w:rsid w:val="00CE260F"/>
    <w:rsid w:val="00CE50F3"/>
    <w:rsid w:val="00CE77DC"/>
    <w:rsid w:val="00CF0DEE"/>
    <w:rsid w:val="00CF1254"/>
    <w:rsid w:val="00CF1DA1"/>
    <w:rsid w:val="00CF4DD1"/>
    <w:rsid w:val="00CF51ED"/>
    <w:rsid w:val="00CF5298"/>
    <w:rsid w:val="00CF6F95"/>
    <w:rsid w:val="00CF7DF7"/>
    <w:rsid w:val="00CF7F25"/>
    <w:rsid w:val="00D00005"/>
    <w:rsid w:val="00D01C56"/>
    <w:rsid w:val="00D02553"/>
    <w:rsid w:val="00D02C2B"/>
    <w:rsid w:val="00D06203"/>
    <w:rsid w:val="00D0700E"/>
    <w:rsid w:val="00D10D93"/>
    <w:rsid w:val="00D12CE8"/>
    <w:rsid w:val="00D1767E"/>
    <w:rsid w:val="00D20082"/>
    <w:rsid w:val="00D22761"/>
    <w:rsid w:val="00D239BD"/>
    <w:rsid w:val="00D243A4"/>
    <w:rsid w:val="00D250FA"/>
    <w:rsid w:val="00D25282"/>
    <w:rsid w:val="00D269E7"/>
    <w:rsid w:val="00D30817"/>
    <w:rsid w:val="00D30933"/>
    <w:rsid w:val="00D33635"/>
    <w:rsid w:val="00D34D0E"/>
    <w:rsid w:val="00D35A4E"/>
    <w:rsid w:val="00D42E70"/>
    <w:rsid w:val="00D44FE0"/>
    <w:rsid w:val="00D45D92"/>
    <w:rsid w:val="00D50BAD"/>
    <w:rsid w:val="00D513FC"/>
    <w:rsid w:val="00D54B06"/>
    <w:rsid w:val="00D54C87"/>
    <w:rsid w:val="00D55B82"/>
    <w:rsid w:val="00D619C3"/>
    <w:rsid w:val="00D62454"/>
    <w:rsid w:val="00D634F6"/>
    <w:rsid w:val="00D654F1"/>
    <w:rsid w:val="00D70ED3"/>
    <w:rsid w:val="00D7663E"/>
    <w:rsid w:val="00D766E4"/>
    <w:rsid w:val="00D779A8"/>
    <w:rsid w:val="00D80E81"/>
    <w:rsid w:val="00D820D6"/>
    <w:rsid w:val="00D82C45"/>
    <w:rsid w:val="00D82CC6"/>
    <w:rsid w:val="00D8510B"/>
    <w:rsid w:val="00D9084F"/>
    <w:rsid w:val="00D930B7"/>
    <w:rsid w:val="00D93BE3"/>
    <w:rsid w:val="00D953CE"/>
    <w:rsid w:val="00D954D3"/>
    <w:rsid w:val="00D960C1"/>
    <w:rsid w:val="00D96F1F"/>
    <w:rsid w:val="00D97631"/>
    <w:rsid w:val="00D97814"/>
    <w:rsid w:val="00DA44D4"/>
    <w:rsid w:val="00DA6B00"/>
    <w:rsid w:val="00DA7AE2"/>
    <w:rsid w:val="00DB584A"/>
    <w:rsid w:val="00DB735D"/>
    <w:rsid w:val="00DB7F3C"/>
    <w:rsid w:val="00DC192A"/>
    <w:rsid w:val="00DC2EF6"/>
    <w:rsid w:val="00DC2F96"/>
    <w:rsid w:val="00DC60C7"/>
    <w:rsid w:val="00DC6863"/>
    <w:rsid w:val="00DD182B"/>
    <w:rsid w:val="00DD1F6D"/>
    <w:rsid w:val="00DD2B09"/>
    <w:rsid w:val="00DD3E6E"/>
    <w:rsid w:val="00DD4E0F"/>
    <w:rsid w:val="00DD4F1B"/>
    <w:rsid w:val="00DD5562"/>
    <w:rsid w:val="00DD7D31"/>
    <w:rsid w:val="00DE0D47"/>
    <w:rsid w:val="00DE0DF4"/>
    <w:rsid w:val="00DE2597"/>
    <w:rsid w:val="00DE2C41"/>
    <w:rsid w:val="00DE36C0"/>
    <w:rsid w:val="00DE7191"/>
    <w:rsid w:val="00DF2101"/>
    <w:rsid w:val="00DF254D"/>
    <w:rsid w:val="00DF5640"/>
    <w:rsid w:val="00DF75C0"/>
    <w:rsid w:val="00E00779"/>
    <w:rsid w:val="00E00E2C"/>
    <w:rsid w:val="00E010D8"/>
    <w:rsid w:val="00E014B6"/>
    <w:rsid w:val="00E0216C"/>
    <w:rsid w:val="00E02823"/>
    <w:rsid w:val="00E05C45"/>
    <w:rsid w:val="00E0662C"/>
    <w:rsid w:val="00E10A3B"/>
    <w:rsid w:val="00E116A7"/>
    <w:rsid w:val="00E12AE0"/>
    <w:rsid w:val="00E1312B"/>
    <w:rsid w:val="00E1460A"/>
    <w:rsid w:val="00E15052"/>
    <w:rsid w:val="00E15081"/>
    <w:rsid w:val="00E15D52"/>
    <w:rsid w:val="00E22045"/>
    <w:rsid w:val="00E23EF6"/>
    <w:rsid w:val="00E23F1E"/>
    <w:rsid w:val="00E2459A"/>
    <w:rsid w:val="00E269E5"/>
    <w:rsid w:val="00E272B7"/>
    <w:rsid w:val="00E31924"/>
    <w:rsid w:val="00E31FA8"/>
    <w:rsid w:val="00E33A17"/>
    <w:rsid w:val="00E425A0"/>
    <w:rsid w:val="00E42965"/>
    <w:rsid w:val="00E43D96"/>
    <w:rsid w:val="00E44CF1"/>
    <w:rsid w:val="00E45491"/>
    <w:rsid w:val="00E502F8"/>
    <w:rsid w:val="00E508B1"/>
    <w:rsid w:val="00E510C3"/>
    <w:rsid w:val="00E518FD"/>
    <w:rsid w:val="00E521F4"/>
    <w:rsid w:val="00E527FF"/>
    <w:rsid w:val="00E545A5"/>
    <w:rsid w:val="00E54A94"/>
    <w:rsid w:val="00E55A5B"/>
    <w:rsid w:val="00E5613B"/>
    <w:rsid w:val="00E622BF"/>
    <w:rsid w:val="00E6487A"/>
    <w:rsid w:val="00E65C44"/>
    <w:rsid w:val="00E662AD"/>
    <w:rsid w:val="00E66F1C"/>
    <w:rsid w:val="00E70645"/>
    <w:rsid w:val="00E72C48"/>
    <w:rsid w:val="00E76481"/>
    <w:rsid w:val="00E76F25"/>
    <w:rsid w:val="00E771BD"/>
    <w:rsid w:val="00E804EE"/>
    <w:rsid w:val="00E8222B"/>
    <w:rsid w:val="00E8323B"/>
    <w:rsid w:val="00E847EB"/>
    <w:rsid w:val="00E853E8"/>
    <w:rsid w:val="00E856C9"/>
    <w:rsid w:val="00E90E32"/>
    <w:rsid w:val="00E9235B"/>
    <w:rsid w:val="00E93A62"/>
    <w:rsid w:val="00E93B6B"/>
    <w:rsid w:val="00E95FDF"/>
    <w:rsid w:val="00EA2B3D"/>
    <w:rsid w:val="00EA30EA"/>
    <w:rsid w:val="00EA4BD3"/>
    <w:rsid w:val="00EA5E54"/>
    <w:rsid w:val="00EB044E"/>
    <w:rsid w:val="00EB084C"/>
    <w:rsid w:val="00EB145E"/>
    <w:rsid w:val="00EB1BC5"/>
    <w:rsid w:val="00EB2D69"/>
    <w:rsid w:val="00EB428B"/>
    <w:rsid w:val="00EB4EA5"/>
    <w:rsid w:val="00EB6D13"/>
    <w:rsid w:val="00EC136F"/>
    <w:rsid w:val="00EC1862"/>
    <w:rsid w:val="00EC4A44"/>
    <w:rsid w:val="00EC6162"/>
    <w:rsid w:val="00ED226D"/>
    <w:rsid w:val="00ED36EE"/>
    <w:rsid w:val="00ED5724"/>
    <w:rsid w:val="00ED57CC"/>
    <w:rsid w:val="00ED6672"/>
    <w:rsid w:val="00ED7CD0"/>
    <w:rsid w:val="00EE11CB"/>
    <w:rsid w:val="00EE3327"/>
    <w:rsid w:val="00EE4214"/>
    <w:rsid w:val="00EE4A50"/>
    <w:rsid w:val="00EE5337"/>
    <w:rsid w:val="00EE5946"/>
    <w:rsid w:val="00EF0FEB"/>
    <w:rsid w:val="00EF2386"/>
    <w:rsid w:val="00EF23A5"/>
    <w:rsid w:val="00EF2D44"/>
    <w:rsid w:val="00EF35C3"/>
    <w:rsid w:val="00EF52C4"/>
    <w:rsid w:val="00F00126"/>
    <w:rsid w:val="00F00EB6"/>
    <w:rsid w:val="00F02227"/>
    <w:rsid w:val="00F02D63"/>
    <w:rsid w:val="00F03ABE"/>
    <w:rsid w:val="00F06BF2"/>
    <w:rsid w:val="00F10FE5"/>
    <w:rsid w:val="00F1185C"/>
    <w:rsid w:val="00F12C0B"/>
    <w:rsid w:val="00F133DD"/>
    <w:rsid w:val="00F1739A"/>
    <w:rsid w:val="00F2058D"/>
    <w:rsid w:val="00F21DFA"/>
    <w:rsid w:val="00F238F7"/>
    <w:rsid w:val="00F23CFB"/>
    <w:rsid w:val="00F23D17"/>
    <w:rsid w:val="00F3005A"/>
    <w:rsid w:val="00F31990"/>
    <w:rsid w:val="00F41893"/>
    <w:rsid w:val="00F41B1A"/>
    <w:rsid w:val="00F42529"/>
    <w:rsid w:val="00F46277"/>
    <w:rsid w:val="00F47F03"/>
    <w:rsid w:val="00F55DB5"/>
    <w:rsid w:val="00F56825"/>
    <w:rsid w:val="00F57AAF"/>
    <w:rsid w:val="00F6627D"/>
    <w:rsid w:val="00F662D4"/>
    <w:rsid w:val="00F67843"/>
    <w:rsid w:val="00F67FC2"/>
    <w:rsid w:val="00F71377"/>
    <w:rsid w:val="00F7464F"/>
    <w:rsid w:val="00F75FF6"/>
    <w:rsid w:val="00F77C51"/>
    <w:rsid w:val="00F802C7"/>
    <w:rsid w:val="00F80349"/>
    <w:rsid w:val="00F81870"/>
    <w:rsid w:val="00F83454"/>
    <w:rsid w:val="00F8355A"/>
    <w:rsid w:val="00F83816"/>
    <w:rsid w:val="00F84FA7"/>
    <w:rsid w:val="00F86838"/>
    <w:rsid w:val="00F95A09"/>
    <w:rsid w:val="00F967E8"/>
    <w:rsid w:val="00F97400"/>
    <w:rsid w:val="00FA30E2"/>
    <w:rsid w:val="00FB077C"/>
    <w:rsid w:val="00FB08C4"/>
    <w:rsid w:val="00FB2BD3"/>
    <w:rsid w:val="00FB2D28"/>
    <w:rsid w:val="00FB3043"/>
    <w:rsid w:val="00FB6527"/>
    <w:rsid w:val="00FB6633"/>
    <w:rsid w:val="00FB6CF7"/>
    <w:rsid w:val="00FB72DC"/>
    <w:rsid w:val="00FC25D2"/>
    <w:rsid w:val="00FC7494"/>
    <w:rsid w:val="00FD04B5"/>
    <w:rsid w:val="00FD3FE0"/>
    <w:rsid w:val="00FD43C6"/>
    <w:rsid w:val="00FD695C"/>
    <w:rsid w:val="00FE0DDC"/>
    <w:rsid w:val="00FE1266"/>
    <w:rsid w:val="00FE141B"/>
    <w:rsid w:val="00FE2135"/>
    <w:rsid w:val="00FE5D37"/>
    <w:rsid w:val="00FE7CB5"/>
    <w:rsid w:val="00FF0B38"/>
    <w:rsid w:val="00FF104C"/>
    <w:rsid w:val="00FF2696"/>
    <w:rsid w:val="00FF3F5A"/>
    <w:rsid w:val="00FF4703"/>
    <w:rsid w:val="01186BAA"/>
    <w:rsid w:val="020202F8"/>
    <w:rsid w:val="0226468E"/>
    <w:rsid w:val="02413A8A"/>
    <w:rsid w:val="02557CC4"/>
    <w:rsid w:val="02CA7EAF"/>
    <w:rsid w:val="02EB0E88"/>
    <w:rsid w:val="03E92374"/>
    <w:rsid w:val="04771B30"/>
    <w:rsid w:val="048B5710"/>
    <w:rsid w:val="055E3823"/>
    <w:rsid w:val="06B0073C"/>
    <w:rsid w:val="0700277F"/>
    <w:rsid w:val="08291AD8"/>
    <w:rsid w:val="08397EB3"/>
    <w:rsid w:val="0A611528"/>
    <w:rsid w:val="0AE754AE"/>
    <w:rsid w:val="0B185C4B"/>
    <w:rsid w:val="0BE72312"/>
    <w:rsid w:val="0D1C1D53"/>
    <w:rsid w:val="0D5E444B"/>
    <w:rsid w:val="0DD423B4"/>
    <w:rsid w:val="0E07670F"/>
    <w:rsid w:val="0E3D609B"/>
    <w:rsid w:val="0E53309F"/>
    <w:rsid w:val="0F282309"/>
    <w:rsid w:val="0F417B73"/>
    <w:rsid w:val="102A0F83"/>
    <w:rsid w:val="102A7894"/>
    <w:rsid w:val="10376722"/>
    <w:rsid w:val="103E0032"/>
    <w:rsid w:val="10A35DFB"/>
    <w:rsid w:val="10ED5CAA"/>
    <w:rsid w:val="110805BA"/>
    <w:rsid w:val="11912069"/>
    <w:rsid w:val="12005957"/>
    <w:rsid w:val="128D6FC9"/>
    <w:rsid w:val="1333779E"/>
    <w:rsid w:val="135F1BA1"/>
    <w:rsid w:val="13AE61F7"/>
    <w:rsid w:val="13BA232D"/>
    <w:rsid w:val="13E42D23"/>
    <w:rsid w:val="1487285B"/>
    <w:rsid w:val="1575131F"/>
    <w:rsid w:val="159857DA"/>
    <w:rsid w:val="15C513BC"/>
    <w:rsid w:val="16014B55"/>
    <w:rsid w:val="16155468"/>
    <w:rsid w:val="164E4887"/>
    <w:rsid w:val="166E345D"/>
    <w:rsid w:val="167714DA"/>
    <w:rsid w:val="168B3820"/>
    <w:rsid w:val="16A938D8"/>
    <w:rsid w:val="17410BA7"/>
    <w:rsid w:val="186423B3"/>
    <w:rsid w:val="18CA707B"/>
    <w:rsid w:val="197621F0"/>
    <w:rsid w:val="19A6603A"/>
    <w:rsid w:val="19AD64E9"/>
    <w:rsid w:val="19B1359D"/>
    <w:rsid w:val="1A5F4815"/>
    <w:rsid w:val="1A656823"/>
    <w:rsid w:val="1A9544D2"/>
    <w:rsid w:val="1ABC2D6E"/>
    <w:rsid w:val="1AC3265C"/>
    <w:rsid w:val="1B127EA0"/>
    <w:rsid w:val="1B7A0737"/>
    <w:rsid w:val="1BD5602E"/>
    <w:rsid w:val="1C8708E2"/>
    <w:rsid w:val="1D4C68D9"/>
    <w:rsid w:val="1D771D62"/>
    <w:rsid w:val="1D8E2FF3"/>
    <w:rsid w:val="1DA70E73"/>
    <w:rsid w:val="1EE537B7"/>
    <w:rsid w:val="1F333223"/>
    <w:rsid w:val="1F4A34C4"/>
    <w:rsid w:val="1F6B19DA"/>
    <w:rsid w:val="1FC138F2"/>
    <w:rsid w:val="1FCD480B"/>
    <w:rsid w:val="1FDF112C"/>
    <w:rsid w:val="20006523"/>
    <w:rsid w:val="20487256"/>
    <w:rsid w:val="20C96075"/>
    <w:rsid w:val="213B1559"/>
    <w:rsid w:val="2179277D"/>
    <w:rsid w:val="224254E2"/>
    <w:rsid w:val="22620BA1"/>
    <w:rsid w:val="22A31AEB"/>
    <w:rsid w:val="22CE7200"/>
    <w:rsid w:val="230406C6"/>
    <w:rsid w:val="23606410"/>
    <w:rsid w:val="23744BB9"/>
    <w:rsid w:val="23921690"/>
    <w:rsid w:val="239B0016"/>
    <w:rsid w:val="24026493"/>
    <w:rsid w:val="24830F45"/>
    <w:rsid w:val="25774A24"/>
    <w:rsid w:val="258B1984"/>
    <w:rsid w:val="25DF1487"/>
    <w:rsid w:val="26422ECB"/>
    <w:rsid w:val="26FA7B38"/>
    <w:rsid w:val="2704501D"/>
    <w:rsid w:val="27222321"/>
    <w:rsid w:val="27402A02"/>
    <w:rsid w:val="27AE1525"/>
    <w:rsid w:val="280E5011"/>
    <w:rsid w:val="29924DCD"/>
    <w:rsid w:val="29BA4A98"/>
    <w:rsid w:val="29DD62E1"/>
    <w:rsid w:val="2A2F2200"/>
    <w:rsid w:val="2A4E7B6D"/>
    <w:rsid w:val="2AA209BF"/>
    <w:rsid w:val="2AAF1852"/>
    <w:rsid w:val="2B4C0109"/>
    <w:rsid w:val="2CF54EE7"/>
    <w:rsid w:val="2D223C33"/>
    <w:rsid w:val="2D352C08"/>
    <w:rsid w:val="2D6E7498"/>
    <w:rsid w:val="2D8212A3"/>
    <w:rsid w:val="2DB4215D"/>
    <w:rsid w:val="2DC13C78"/>
    <w:rsid w:val="2E094996"/>
    <w:rsid w:val="2E5F7F1F"/>
    <w:rsid w:val="2EC53323"/>
    <w:rsid w:val="2FBF6262"/>
    <w:rsid w:val="318C515E"/>
    <w:rsid w:val="32AC75FE"/>
    <w:rsid w:val="337D4BE7"/>
    <w:rsid w:val="33D177B8"/>
    <w:rsid w:val="342C157C"/>
    <w:rsid w:val="347F7543"/>
    <w:rsid w:val="34C746E3"/>
    <w:rsid w:val="34DD3F78"/>
    <w:rsid w:val="352A7BC5"/>
    <w:rsid w:val="356B2D21"/>
    <w:rsid w:val="358109D5"/>
    <w:rsid w:val="35EF9598"/>
    <w:rsid w:val="36073225"/>
    <w:rsid w:val="36074AC2"/>
    <w:rsid w:val="36161CC1"/>
    <w:rsid w:val="36BA5D2C"/>
    <w:rsid w:val="37106FB6"/>
    <w:rsid w:val="38792AC5"/>
    <w:rsid w:val="38C10C83"/>
    <w:rsid w:val="39FF1E72"/>
    <w:rsid w:val="3A3D2AE2"/>
    <w:rsid w:val="3AAE4C05"/>
    <w:rsid w:val="3AC834FB"/>
    <w:rsid w:val="3B267BE5"/>
    <w:rsid w:val="3BB66D64"/>
    <w:rsid w:val="3D524314"/>
    <w:rsid w:val="3D93747E"/>
    <w:rsid w:val="3DE61B4F"/>
    <w:rsid w:val="3DFF64CF"/>
    <w:rsid w:val="3E2429E2"/>
    <w:rsid w:val="3E735C82"/>
    <w:rsid w:val="3EB16BB9"/>
    <w:rsid w:val="3F2B4A1E"/>
    <w:rsid w:val="3F81774A"/>
    <w:rsid w:val="3F9D61EE"/>
    <w:rsid w:val="40AC3F45"/>
    <w:rsid w:val="410E7E88"/>
    <w:rsid w:val="41A80684"/>
    <w:rsid w:val="420539E5"/>
    <w:rsid w:val="43116A2B"/>
    <w:rsid w:val="438A4FAE"/>
    <w:rsid w:val="43FA2577"/>
    <w:rsid w:val="45004453"/>
    <w:rsid w:val="450D4612"/>
    <w:rsid w:val="46546498"/>
    <w:rsid w:val="4679477B"/>
    <w:rsid w:val="47124E1D"/>
    <w:rsid w:val="472A26FF"/>
    <w:rsid w:val="4928027C"/>
    <w:rsid w:val="497F1FE8"/>
    <w:rsid w:val="49D95904"/>
    <w:rsid w:val="4A1F4671"/>
    <w:rsid w:val="4AF95C16"/>
    <w:rsid w:val="4BF62CB4"/>
    <w:rsid w:val="4C520D22"/>
    <w:rsid w:val="4C7B1E3B"/>
    <w:rsid w:val="4DB232E9"/>
    <w:rsid w:val="4DE946EB"/>
    <w:rsid w:val="4E3273E6"/>
    <w:rsid w:val="4E9A7F6D"/>
    <w:rsid w:val="4EE03275"/>
    <w:rsid w:val="4F8E7BBA"/>
    <w:rsid w:val="4FCD3B0B"/>
    <w:rsid w:val="502A5631"/>
    <w:rsid w:val="50DD6D95"/>
    <w:rsid w:val="51670614"/>
    <w:rsid w:val="51CC43B8"/>
    <w:rsid w:val="52283C91"/>
    <w:rsid w:val="526838AE"/>
    <w:rsid w:val="52AC74D1"/>
    <w:rsid w:val="53535C66"/>
    <w:rsid w:val="53AF0510"/>
    <w:rsid w:val="54FA1104"/>
    <w:rsid w:val="55662A57"/>
    <w:rsid w:val="55716E97"/>
    <w:rsid w:val="568B3AF6"/>
    <w:rsid w:val="570F93E2"/>
    <w:rsid w:val="57180645"/>
    <w:rsid w:val="5720451A"/>
    <w:rsid w:val="5870266F"/>
    <w:rsid w:val="58BE2A39"/>
    <w:rsid w:val="5A03393D"/>
    <w:rsid w:val="5A327537"/>
    <w:rsid w:val="5A912620"/>
    <w:rsid w:val="5AC61F05"/>
    <w:rsid w:val="5B687D7C"/>
    <w:rsid w:val="5B6A2FD1"/>
    <w:rsid w:val="5B6B2E12"/>
    <w:rsid w:val="5B713A9E"/>
    <w:rsid w:val="5B723B34"/>
    <w:rsid w:val="5BCF09D1"/>
    <w:rsid w:val="5C40265B"/>
    <w:rsid w:val="5C793C2E"/>
    <w:rsid w:val="5C796266"/>
    <w:rsid w:val="5CA92734"/>
    <w:rsid w:val="5CFF1FDE"/>
    <w:rsid w:val="5D245594"/>
    <w:rsid w:val="5DA77D59"/>
    <w:rsid w:val="5DDA051A"/>
    <w:rsid w:val="5E2A56EC"/>
    <w:rsid w:val="5EFF12D1"/>
    <w:rsid w:val="5F9C3BF5"/>
    <w:rsid w:val="5FDC08AB"/>
    <w:rsid w:val="601D6C8A"/>
    <w:rsid w:val="60392B49"/>
    <w:rsid w:val="60BF8B28"/>
    <w:rsid w:val="61D91B68"/>
    <w:rsid w:val="620B7E3E"/>
    <w:rsid w:val="620E258E"/>
    <w:rsid w:val="6252162A"/>
    <w:rsid w:val="62AF4974"/>
    <w:rsid w:val="63517DFC"/>
    <w:rsid w:val="636D0683"/>
    <w:rsid w:val="637349EC"/>
    <w:rsid w:val="637A6C8A"/>
    <w:rsid w:val="63A4729C"/>
    <w:rsid w:val="64116B6D"/>
    <w:rsid w:val="642119FF"/>
    <w:rsid w:val="647A3377"/>
    <w:rsid w:val="648206E7"/>
    <w:rsid w:val="64921504"/>
    <w:rsid w:val="64A23CE1"/>
    <w:rsid w:val="656D7873"/>
    <w:rsid w:val="658D4C1F"/>
    <w:rsid w:val="665C6790"/>
    <w:rsid w:val="66FD0672"/>
    <w:rsid w:val="67521CAD"/>
    <w:rsid w:val="67E135D3"/>
    <w:rsid w:val="683A7FFA"/>
    <w:rsid w:val="6877758D"/>
    <w:rsid w:val="68997A2B"/>
    <w:rsid w:val="68CB3996"/>
    <w:rsid w:val="699313C6"/>
    <w:rsid w:val="69A64B21"/>
    <w:rsid w:val="6A0D7C9D"/>
    <w:rsid w:val="6A362EFE"/>
    <w:rsid w:val="6A617E6C"/>
    <w:rsid w:val="6AF68932"/>
    <w:rsid w:val="6B697766"/>
    <w:rsid w:val="6B7928A2"/>
    <w:rsid w:val="6BD34AA4"/>
    <w:rsid w:val="6BD60137"/>
    <w:rsid w:val="6BD65822"/>
    <w:rsid w:val="6C0B4320"/>
    <w:rsid w:val="6C2B7500"/>
    <w:rsid w:val="6C45138C"/>
    <w:rsid w:val="6C647AF2"/>
    <w:rsid w:val="6D2449E7"/>
    <w:rsid w:val="6E2825F9"/>
    <w:rsid w:val="6EA30D2F"/>
    <w:rsid w:val="6EB818FB"/>
    <w:rsid w:val="6F385951"/>
    <w:rsid w:val="6F822619"/>
    <w:rsid w:val="6FA663D0"/>
    <w:rsid w:val="6FBF1D7E"/>
    <w:rsid w:val="703E1B27"/>
    <w:rsid w:val="707109BA"/>
    <w:rsid w:val="70AC35AB"/>
    <w:rsid w:val="71297032"/>
    <w:rsid w:val="7157611F"/>
    <w:rsid w:val="724D39C9"/>
    <w:rsid w:val="726C795E"/>
    <w:rsid w:val="73446FA5"/>
    <w:rsid w:val="735579D8"/>
    <w:rsid w:val="7383136F"/>
    <w:rsid w:val="73C779FC"/>
    <w:rsid w:val="74E9783F"/>
    <w:rsid w:val="752F355A"/>
    <w:rsid w:val="75F74D71"/>
    <w:rsid w:val="76306FBF"/>
    <w:rsid w:val="76916271"/>
    <w:rsid w:val="77624591"/>
    <w:rsid w:val="78041C59"/>
    <w:rsid w:val="78235DC1"/>
    <w:rsid w:val="79166B74"/>
    <w:rsid w:val="79332448"/>
    <w:rsid w:val="79E0379C"/>
    <w:rsid w:val="79EA76EC"/>
    <w:rsid w:val="7AE76204"/>
    <w:rsid w:val="7B6A461A"/>
    <w:rsid w:val="7B8560FE"/>
    <w:rsid w:val="7BAC38B9"/>
    <w:rsid w:val="7C9324A3"/>
    <w:rsid w:val="7D3CC027"/>
    <w:rsid w:val="7D4D522B"/>
    <w:rsid w:val="7D596C5F"/>
    <w:rsid w:val="7D8B5E5A"/>
    <w:rsid w:val="7DDD3867"/>
    <w:rsid w:val="7DE43073"/>
    <w:rsid w:val="7E18528D"/>
    <w:rsid w:val="7E7879EF"/>
    <w:rsid w:val="7EDFE81F"/>
    <w:rsid w:val="7EEEB9C2"/>
    <w:rsid w:val="7EFFBC8E"/>
    <w:rsid w:val="7F6131E4"/>
    <w:rsid w:val="7F87CAC5"/>
    <w:rsid w:val="7F96D70F"/>
    <w:rsid w:val="7FCF28BA"/>
    <w:rsid w:val="7FFE4BA9"/>
    <w:rsid w:val="AD79CE08"/>
    <w:rsid w:val="AEFA8894"/>
    <w:rsid w:val="AFE61B4E"/>
    <w:rsid w:val="BCF7A0F2"/>
    <w:rsid w:val="D4EDD513"/>
    <w:rsid w:val="EB7DEE47"/>
    <w:rsid w:val="EEFDC024"/>
    <w:rsid w:val="F7F92B4B"/>
    <w:rsid w:val="FBB77FDE"/>
    <w:rsid w:val="FBE334C2"/>
    <w:rsid w:val="FDAF648A"/>
    <w:rsid w:val="FEF4C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qFormat/>
    <w:uiPriority w:val="0"/>
    <w:pPr>
      <w:jc w:val="left"/>
    </w:pPr>
  </w:style>
  <w:style w:type="paragraph" w:styleId="4">
    <w:name w:val="Body Text Indent"/>
    <w:basedOn w:val="1"/>
    <w:qFormat/>
    <w:uiPriority w:val="0"/>
    <w:pPr>
      <w:spacing w:line="440" w:lineRule="exact"/>
      <w:ind w:firstLine="480" w:firstLineChars="200"/>
    </w:pPr>
    <w:rPr>
      <w:sz w:val="24"/>
    </w:rPr>
  </w:style>
  <w:style w:type="paragraph" w:styleId="5">
    <w:name w:val="Plain Text"/>
    <w:basedOn w:val="1"/>
    <w:link w:val="22"/>
    <w:qFormat/>
    <w:uiPriority w:val="0"/>
    <w:rPr>
      <w:rFonts w:ascii="宋体" w:hAnsi="Courier New"/>
      <w:szCs w:val="21"/>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olor w:val="000066"/>
      <w:kern w:val="0"/>
      <w:sz w:val="24"/>
    </w:rPr>
  </w:style>
  <w:style w:type="paragraph" w:styleId="11">
    <w:name w:val="annotation subject"/>
    <w:basedOn w:val="3"/>
    <w:next w:val="3"/>
    <w:link w:val="24"/>
    <w:qFormat/>
    <w:uiPriority w:val="0"/>
    <w:rPr>
      <w:b/>
      <w:bCs/>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22"/>
    <w:rPr>
      <w:b/>
      <w:bCs/>
    </w:rPr>
  </w:style>
  <w:style w:type="character" w:styleId="16">
    <w:name w:val="page number"/>
    <w:qFormat/>
    <w:uiPriority w:val="0"/>
  </w:style>
  <w:style w:type="character" w:styleId="17">
    <w:name w:val="FollowedHyperlink"/>
    <w:qFormat/>
    <w:uiPriority w:val="0"/>
    <w:rPr>
      <w:color w:val="000000"/>
      <w:u w:val="none"/>
    </w:rPr>
  </w:style>
  <w:style w:type="character" w:styleId="18">
    <w:name w:val="Hyperlink"/>
    <w:qFormat/>
    <w:uiPriority w:val="0"/>
    <w:rPr>
      <w:color w:val="000000"/>
      <w:u w:val="none"/>
    </w:rPr>
  </w:style>
  <w:style w:type="character" w:styleId="19">
    <w:name w:val="annotation reference"/>
    <w:qFormat/>
    <w:uiPriority w:val="0"/>
    <w:rPr>
      <w:sz w:val="21"/>
      <w:szCs w:val="21"/>
    </w:rPr>
  </w:style>
  <w:style w:type="character" w:customStyle="1" w:styleId="20">
    <w:name w:val="标题 1 字符"/>
    <w:link w:val="2"/>
    <w:qFormat/>
    <w:uiPriority w:val="9"/>
    <w:rPr>
      <w:rFonts w:ascii="宋体" w:hAnsi="宋体" w:cs="宋体"/>
      <w:b/>
      <w:bCs/>
      <w:kern w:val="36"/>
      <w:sz w:val="48"/>
      <w:szCs w:val="48"/>
    </w:rPr>
  </w:style>
  <w:style w:type="character" w:customStyle="1" w:styleId="21">
    <w:name w:val="批注文字 字符"/>
    <w:link w:val="3"/>
    <w:qFormat/>
    <w:uiPriority w:val="0"/>
    <w:rPr>
      <w:kern w:val="2"/>
      <w:sz w:val="21"/>
      <w:szCs w:val="24"/>
    </w:rPr>
  </w:style>
  <w:style w:type="character" w:customStyle="1" w:styleId="22">
    <w:name w:val="纯文本 字符"/>
    <w:link w:val="5"/>
    <w:semiHidden/>
    <w:qFormat/>
    <w:locked/>
    <w:uiPriority w:val="0"/>
    <w:rPr>
      <w:rFonts w:ascii="宋体" w:hAnsi="Courier New" w:eastAsia="宋体"/>
      <w:kern w:val="2"/>
      <w:sz w:val="21"/>
      <w:szCs w:val="21"/>
      <w:lang w:val="en-US" w:eastAsia="zh-CN" w:bidi="ar-SA"/>
    </w:rPr>
  </w:style>
  <w:style w:type="character" w:customStyle="1" w:styleId="23">
    <w:name w:val="页脚 字符"/>
    <w:link w:val="8"/>
    <w:qFormat/>
    <w:uiPriority w:val="99"/>
    <w:rPr>
      <w:kern w:val="2"/>
      <w:sz w:val="18"/>
      <w:szCs w:val="18"/>
    </w:rPr>
  </w:style>
  <w:style w:type="character" w:customStyle="1" w:styleId="24">
    <w:name w:val="批注主题 字符"/>
    <w:link w:val="11"/>
    <w:qFormat/>
    <w:uiPriority w:val="0"/>
    <w:rPr>
      <w:b/>
      <w:bCs/>
      <w:kern w:val="2"/>
      <w:sz w:val="21"/>
      <w:szCs w:val="24"/>
    </w:rPr>
  </w:style>
  <w:style w:type="paragraph" w:customStyle="1" w:styleId="25">
    <w:name w:val="默认段落字体 Para Char Char Char Char"/>
    <w:basedOn w:val="1"/>
    <w:qFormat/>
    <w:uiPriority w:val="0"/>
    <w:pPr>
      <w:spacing w:line="240" w:lineRule="atLeast"/>
      <w:ind w:left="420" w:firstLine="420"/>
    </w:pPr>
  </w:style>
  <w:style w:type="paragraph" w:customStyle="1" w:styleId="26">
    <w:name w:val="style29"/>
    <w:basedOn w:val="1"/>
    <w:qFormat/>
    <w:uiPriority w:val="0"/>
    <w:pPr>
      <w:widowControl/>
      <w:spacing w:before="100" w:beforeAutospacing="1" w:after="100" w:afterAutospacing="1"/>
      <w:jc w:val="left"/>
    </w:pPr>
    <w:rPr>
      <w:rFonts w:ascii="宋体" w:hAnsi="宋体"/>
      <w:kern w:val="0"/>
      <w:sz w:val="24"/>
    </w:rPr>
  </w:style>
  <w:style w:type="paragraph" w:customStyle="1" w:styleId="27">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rFonts w:hint="eastAsia" w:ascii="宋体" w:hAnsi="宋体"/>
      <w:kern w:val="0"/>
      <w:sz w:val="18"/>
      <w:szCs w:val="18"/>
    </w:rPr>
  </w:style>
  <w:style w:type="paragraph" w:customStyle="1" w:styleId="28">
    <w:name w:val="Char"/>
    <w:basedOn w:val="1"/>
    <w:semiHidden/>
    <w:qFormat/>
    <w:uiPriority w:val="0"/>
    <w:pPr>
      <w:widowControl/>
      <w:spacing w:after="160" w:line="240" w:lineRule="exact"/>
      <w:jc w:val="left"/>
    </w:pPr>
    <w:rPr>
      <w:rFonts w:ascii="Verdana" w:hAnsi="Verdana"/>
      <w:kern w:val="0"/>
      <w:sz w:val="20"/>
      <w:szCs w:val="20"/>
      <w:lang w:eastAsia="en-US"/>
    </w:rPr>
  </w:style>
  <w:style w:type="table" w:customStyle="1" w:styleId="29">
    <w:name w:val="网格型1"/>
    <w:basedOn w:val="12"/>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7</Pages>
  <Words>4253</Words>
  <Characters>4320</Characters>
  <Lines>32</Lines>
  <Paragraphs>9</Paragraphs>
  <TotalTime>48</TotalTime>
  <ScaleCrop>false</ScaleCrop>
  <LinksUpToDate>false</LinksUpToDate>
  <CharactersWithSpaces>4375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2022-10-02T01:09:00Z</dcterms:created>
  <dc:creator>古月晓明</dc:creator>
  <cp:lastModifiedBy>枫婷</cp:lastModifiedBy>
  <cp:lastPrinted>2023-05-24T09:01:00Z</cp:lastPrinted>
  <dcterms:modified xsi:type="dcterms:W3CDTF">2026-05-08T01:31:26Z</dcterms:modified>
  <dc:title>人才培养方案</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SaveFontToCloudKey">
    <vt:lpwstr>1172007444_cloud</vt:lpwstr>
  </property>
  <property fmtid="{D5CDD505-2E9C-101B-9397-08002B2CF9AE}" pid="4" name="ICV">
    <vt:lpwstr>1616A36EE7874E72B5D1E1F8A09B5F82</vt:lpwstr>
  </property>
  <property fmtid="{D5CDD505-2E9C-101B-9397-08002B2CF9AE}" pid="5" name="KSOTemplateDocerSaveRecord">
    <vt:lpwstr>eyJoZGlkIjoiZmYwNzEwZDNiZTAzOTlkYzM5NDBhNmZjYTM2YWQ1NWYiLCJ1c2VySWQiOiIxMDAyNjQzMjI1In0=</vt:lpwstr>
  </property>
</Properties>
</file>